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0DFE" w14:textId="4F20AE02" w:rsidR="00834056" w:rsidRDefault="00241EBE" w:rsidP="00EC05CE">
      <w:pPr>
        <w:jc w:val="center"/>
        <w:rPr>
          <w:b/>
          <w:bCs/>
        </w:rPr>
      </w:pPr>
      <w:r w:rsidRPr="00EC05CE">
        <w:rPr>
          <w:b/>
          <w:bCs/>
        </w:rPr>
        <w:t>PLP Webinar: Appeals to The European Court of Human Rights</w:t>
      </w:r>
    </w:p>
    <w:p w14:paraId="7753C74D" w14:textId="499B640D" w:rsidR="00EC05CE" w:rsidRDefault="00507F49" w:rsidP="00EC05CE">
      <w:pPr>
        <w:jc w:val="center"/>
      </w:pPr>
      <w:r>
        <w:t>References and materials</w:t>
      </w:r>
    </w:p>
    <w:p w14:paraId="41C2846F" w14:textId="7D3191E8" w:rsidR="00507F49" w:rsidRDefault="00507F49" w:rsidP="00EC05CE">
      <w:pPr>
        <w:jc w:val="center"/>
        <w:rPr>
          <w:i/>
          <w:iCs/>
        </w:rPr>
      </w:pPr>
      <w:r>
        <w:rPr>
          <w:i/>
          <w:iCs/>
        </w:rPr>
        <w:t>Piers Gardner</w:t>
      </w:r>
    </w:p>
    <w:p w14:paraId="4623A948" w14:textId="697ABA48" w:rsidR="00B82595" w:rsidRDefault="00B82595" w:rsidP="00EC05CE">
      <w:pPr>
        <w:jc w:val="center"/>
      </w:pPr>
      <w:r>
        <w:t>Monckton Chambers</w:t>
      </w:r>
    </w:p>
    <w:p w14:paraId="2935F777" w14:textId="6F2D182B" w:rsidR="00B82595" w:rsidRPr="00B82595" w:rsidRDefault="00B82595" w:rsidP="00EC05CE">
      <w:pPr>
        <w:jc w:val="center"/>
      </w:pPr>
      <w:r>
        <w:t>pgardner@monckton.com</w:t>
      </w:r>
    </w:p>
    <w:p w14:paraId="02560A3A" w14:textId="74962FD5" w:rsidR="001D4612" w:rsidRPr="00CB4FF4" w:rsidRDefault="001D4612" w:rsidP="001D4612">
      <w:pPr>
        <w:rPr>
          <w:rFonts w:cs="Times New Roman"/>
          <w:szCs w:val="24"/>
          <w:u w:val="single"/>
        </w:rPr>
      </w:pPr>
      <w:r>
        <w:rPr>
          <w:rFonts w:cs="Times New Roman"/>
          <w:szCs w:val="24"/>
          <w:u w:val="single"/>
        </w:rPr>
        <w:t>1</w:t>
      </w:r>
      <w:r w:rsidRPr="00CB4FF4">
        <w:rPr>
          <w:rFonts w:cs="Times New Roman"/>
          <w:szCs w:val="24"/>
          <w:u w:val="single"/>
        </w:rPr>
        <w:t xml:space="preserve">. </w:t>
      </w:r>
      <w:r>
        <w:rPr>
          <w:rFonts w:cs="Times New Roman"/>
          <w:szCs w:val="24"/>
          <w:u w:val="single"/>
        </w:rPr>
        <w:t>CASE HANDLING FROM COMMUNICATION TO FINAL JUDGMENT</w:t>
      </w:r>
    </w:p>
    <w:p w14:paraId="4FF0BE07" w14:textId="0E8E2BB4" w:rsidR="001E0A60" w:rsidRDefault="001E0A60" w:rsidP="001D4612">
      <w:pPr>
        <w:pStyle w:val="ListParagraph"/>
        <w:numPr>
          <w:ilvl w:val="0"/>
          <w:numId w:val="1"/>
        </w:numPr>
        <w:rPr>
          <w:rFonts w:cs="Times New Roman"/>
          <w:szCs w:val="24"/>
        </w:rPr>
      </w:pPr>
      <w:r>
        <w:rPr>
          <w:rFonts w:cs="Times New Roman"/>
          <w:szCs w:val="24"/>
        </w:rPr>
        <w:t>Reference documents:</w:t>
      </w:r>
    </w:p>
    <w:p w14:paraId="55B1E77B" w14:textId="6D889012" w:rsidR="001E0A60" w:rsidRDefault="001E0A60" w:rsidP="001E0A60">
      <w:pPr>
        <w:pStyle w:val="ListParagraph"/>
        <w:numPr>
          <w:ilvl w:val="1"/>
          <w:numId w:val="1"/>
        </w:numPr>
        <w:rPr>
          <w:rFonts w:cs="Times New Roman"/>
          <w:szCs w:val="24"/>
        </w:rPr>
      </w:pPr>
      <w:r>
        <w:rPr>
          <w:rFonts w:cs="Times New Roman"/>
          <w:szCs w:val="24"/>
        </w:rPr>
        <w:t xml:space="preserve">ECHR and Protocols </w:t>
      </w:r>
      <w:hyperlink r:id="rId7" w:history="1">
        <w:r w:rsidR="005B7CA1">
          <w:rPr>
            <w:rStyle w:val="Hyperlink"/>
          </w:rPr>
          <w:t>European Convention on Human Rights - Official texts, Convention and Protocols (coe.int)</w:t>
        </w:r>
      </w:hyperlink>
      <w:r>
        <w:rPr>
          <w:rFonts w:cs="Times New Roman"/>
          <w:szCs w:val="24"/>
        </w:rPr>
        <w:t>;</w:t>
      </w:r>
    </w:p>
    <w:p w14:paraId="6E1CB2BB" w14:textId="59736268" w:rsidR="001E0A60" w:rsidRDefault="001E0A60" w:rsidP="001E0A60">
      <w:pPr>
        <w:pStyle w:val="ListParagraph"/>
        <w:numPr>
          <w:ilvl w:val="1"/>
          <w:numId w:val="1"/>
        </w:numPr>
        <w:rPr>
          <w:rFonts w:cs="Times New Roman"/>
          <w:szCs w:val="24"/>
        </w:rPr>
      </w:pPr>
      <w:r>
        <w:rPr>
          <w:rFonts w:cs="Times New Roman"/>
          <w:szCs w:val="24"/>
        </w:rPr>
        <w:t>Rules of Court</w:t>
      </w:r>
      <w:r w:rsidR="004108AA">
        <w:rPr>
          <w:rFonts w:cs="Times New Roman"/>
          <w:szCs w:val="24"/>
        </w:rPr>
        <w:t xml:space="preserve"> of 20</w:t>
      </w:r>
      <w:r w:rsidR="00C012CF">
        <w:rPr>
          <w:rFonts w:cs="Times New Roman"/>
          <w:szCs w:val="24"/>
        </w:rPr>
        <w:t xml:space="preserve"> March 2</w:t>
      </w:r>
      <w:r w:rsidR="004108AA">
        <w:rPr>
          <w:rFonts w:cs="Times New Roman"/>
          <w:szCs w:val="24"/>
        </w:rPr>
        <w:t>023</w:t>
      </w:r>
      <w:r>
        <w:rPr>
          <w:rFonts w:cs="Times New Roman"/>
          <w:szCs w:val="24"/>
        </w:rPr>
        <w:t xml:space="preserve"> </w:t>
      </w:r>
      <w:hyperlink r:id="rId8" w:history="1">
        <w:r w:rsidR="00532E9D">
          <w:rPr>
            <w:rStyle w:val="Hyperlink"/>
          </w:rPr>
          <w:t>Rules of Court - 20 March 2023 (coe.int)</w:t>
        </w:r>
      </w:hyperlink>
      <w:r>
        <w:rPr>
          <w:rFonts w:cs="Times New Roman"/>
          <w:szCs w:val="24"/>
        </w:rPr>
        <w:t>;</w:t>
      </w:r>
    </w:p>
    <w:p w14:paraId="5654EF58" w14:textId="1A71C408" w:rsidR="001E0A60" w:rsidRDefault="001E0A60" w:rsidP="001E0A60">
      <w:pPr>
        <w:pStyle w:val="ListParagraph"/>
        <w:numPr>
          <w:ilvl w:val="1"/>
          <w:numId w:val="1"/>
        </w:numPr>
        <w:rPr>
          <w:rFonts w:cs="Times New Roman"/>
          <w:szCs w:val="24"/>
        </w:rPr>
      </w:pPr>
      <w:r>
        <w:rPr>
          <w:rFonts w:cs="Times New Roman"/>
          <w:szCs w:val="24"/>
        </w:rPr>
        <w:t>Practice Directions (PDs) on</w:t>
      </w:r>
      <w:r w:rsidR="004F060C">
        <w:rPr>
          <w:rFonts w:cs="Times New Roman"/>
          <w:szCs w:val="24"/>
        </w:rPr>
        <w:t>, amongst other topics</w:t>
      </w:r>
      <w:r>
        <w:rPr>
          <w:rFonts w:cs="Times New Roman"/>
          <w:szCs w:val="24"/>
        </w:rPr>
        <w:t>:</w:t>
      </w:r>
    </w:p>
    <w:p w14:paraId="104FCBE5" w14:textId="5C68008C" w:rsidR="001F66B0" w:rsidRPr="001F66B0" w:rsidRDefault="001F66B0" w:rsidP="001F66B0">
      <w:pPr>
        <w:pStyle w:val="ListParagraph"/>
        <w:numPr>
          <w:ilvl w:val="2"/>
          <w:numId w:val="1"/>
        </w:numPr>
        <w:rPr>
          <w:rFonts w:cs="Times New Roman"/>
          <w:szCs w:val="24"/>
        </w:rPr>
      </w:pPr>
      <w:r>
        <w:rPr>
          <w:rFonts w:cs="Times New Roman"/>
          <w:szCs w:val="24"/>
        </w:rPr>
        <w:t xml:space="preserve">Institution of proceedings </w:t>
      </w:r>
      <w:hyperlink r:id="rId9" w:history="1">
        <w:r>
          <w:rPr>
            <w:rStyle w:val="Hyperlink"/>
          </w:rPr>
          <w:t>PD - Institution of proceedings (coe.int)</w:t>
        </w:r>
      </w:hyperlink>
      <w:r>
        <w:t>;</w:t>
      </w:r>
    </w:p>
    <w:p w14:paraId="5423EB15" w14:textId="7A133642" w:rsidR="001F66B0" w:rsidRPr="000147DC" w:rsidRDefault="008D21DC" w:rsidP="001F66B0">
      <w:pPr>
        <w:pStyle w:val="ListParagraph"/>
        <w:numPr>
          <w:ilvl w:val="2"/>
          <w:numId w:val="1"/>
        </w:numPr>
        <w:rPr>
          <w:rFonts w:cs="Times New Roman"/>
          <w:szCs w:val="24"/>
        </w:rPr>
      </w:pPr>
      <w:r>
        <w:t>Written p</w:t>
      </w:r>
      <w:r w:rsidR="000147DC">
        <w:t xml:space="preserve">leadings </w:t>
      </w:r>
      <w:hyperlink r:id="rId10" w:history="1">
        <w:r w:rsidR="000147DC">
          <w:rPr>
            <w:rStyle w:val="Hyperlink"/>
          </w:rPr>
          <w:t>Written pleadings (coe.int)</w:t>
        </w:r>
      </w:hyperlink>
      <w:r w:rsidR="000147DC">
        <w:t>;</w:t>
      </w:r>
    </w:p>
    <w:p w14:paraId="53F8742A" w14:textId="6E073676" w:rsidR="000147DC" w:rsidRPr="004F060C" w:rsidRDefault="00727C20" w:rsidP="001F66B0">
      <w:pPr>
        <w:pStyle w:val="ListParagraph"/>
        <w:numPr>
          <w:ilvl w:val="2"/>
          <w:numId w:val="1"/>
        </w:numPr>
        <w:rPr>
          <w:rFonts w:cs="Times New Roman"/>
          <w:szCs w:val="24"/>
        </w:rPr>
      </w:pPr>
      <w:r>
        <w:rPr>
          <w:rFonts w:cs="Times New Roman"/>
          <w:szCs w:val="24"/>
        </w:rPr>
        <w:t>Requests for interim measures</w:t>
      </w:r>
      <w:r w:rsidR="004F060C">
        <w:rPr>
          <w:rFonts w:cs="Times New Roman"/>
          <w:szCs w:val="24"/>
        </w:rPr>
        <w:t xml:space="preserve"> </w:t>
      </w:r>
      <w:hyperlink r:id="rId11" w:history="1">
        <w:r w:rsidR="004F060C">
          <w:rPr>
            <w:rStyle w:val="Hyperlink"/>
          </w:rPr>
          <w:t>Requests for interim measures (coe.int)</w:t>
        </w:r>
      </w:hyperlink>
      <w:r w:rsidR="004F060C">
        <w:t>;</w:t>
      </w:r>
    </w:p>
    <w:p w14:paraId="0038856F" w14:textId="5969A14F" w:rsidR="004F060C" w:rsidRPr="00392F96" w:rsidRDefault="00FD143E" w:rsidP="001F66B0">
      <w:pPr>
        <w:pStyle w:val="ListParagraph"/>
        <w:numPr>
          <w:ilvl w:val="2"/>
          <w:numId w:val="1"/>
        </w:numPr>
        <w:rPr>
          <w:rFonts w:cs="Times New Roman"/>
          <w:szCs w:val="24"/>
        </w:rPr>
      </w:pPr>
      <w:r>
        <w:rPr>
          <w:rFonts w:cs="Times New Roman"/>
          <w:szCs w:val="24"/>
        </w:rPr>
        <w:t xml:space="preserve">Just </w:t>
      </w:r>
      <w:r w:rsidR="008F5FC0">
        <w:rPr>
          <w:rFonts w:cs="Times New Roman"/>
          <w:szCs w:val="24"/>
        </w:rPr>
        <w:t xml:space="preserve">satisfaction claims </w:t>
      </w:r>
      <w:hyperlink r:id="rId12" w:history="1">
        <w:r w:rsidR="008F5FC0">
          <w:rPr>
            <w:rStyle w:val="Hyperlink"/>
          </w:rPr>
          <w:t>Practice Direction: Just satisfaction claims (Article 41 of the Convention) (coe.int)</w:t>
        </w:r>
      </w:hyperlink>
      <w:r w:rsidR="00392F96">
        <w:t>;</w:t>
      </w:r>
    </w:p>
    <w:p w14:paraId="6F3A83EB" w14:textId="25C22BB7" w:rsidR="00392F96" w:rsidRDefault="00392F96" w:rsidP="001F66B0">
      <w:pPr>
        <w:pStyle w:val="ListParagraph"/>
        <w:numPr>
          <w:ilvl w:val="2"/>
          <w:numId w:val="1"/>
        </w:numPr>
        <w:rPr>
          <w:rFonts w:cs="Times New Roman"/>
          <w:szCs w:val="24"/>
        </w:rPr>
      </w:pPr>
      <w:r>
        <w:t xml:space="preserve">Electronic filing of pleadings (but NOT applications) </w:t>
      </w:r>
      <w:hyperlink r:id="rId13" w:history="1">
        <w:r>
          <w:rPr>
            <w:rStyle w:val="Hyperlink"/>
          </w:rPr>
          <w:t>Practice Directions - Electronic filing by applicants (coe.int)</w:t>
        </w:r>
      </w:hyperlink>
    </w:p>
    <w:p w14:paraId="2529AAFA" w14:textId="55087AB3" w:rsidR="001E0A60" w:rsidRDefault="001E0A60" w:rsidP="001E0A60">
      <w:pPr>
        <w:pStyle w:val="ListParagraph"/>
        <w:numPr>
          <w:ilvl w:val="1"/>
          <w:numId w:val="1"/>
        </w:numPr>
        <w:rPr>
          <w:rFonts w:cs="Times New Roman"/>
          <w:szCs w:val="24"/>
        </w:rPr>
      </w:pPr>
      <w:r>
        <w:rPr>
          <w:rFonts w:cs="Times New Roman"/>
          <w:szCs w:val="24"/>
        </w:rPr>
        <w:t>Guidance on Court’s website:</w:t>
      </w:r>
    </w:p>
    <w:p w14:paraId="3DBDA245" w14:textId="33919570" w:rsidR="008F5FC0" w:rsidRDefault="00356C1D" w:rsidP="008F5FC0">
      <w:pPr>
        <w:pStyle w:val="ListParagraph"/>
        <w:numPr>
          <w:ilvl w:val="2"/>
          <w:numId w:val="1"/>
        </w:numPr>
        <w:rPr>
          <w:rFonts w:cs="Times New Roman"/>
          <w:szCs w:val="24"/>
        </w:rPr>
      </w:pPr>
      <w:r>
        <w:rPr>
          <w:rFonts w:cs="Times New Roman"/>
          <w:szCs w:val="24"/>
        </w:rPr>
        <w:t xml:space="preserve">How to apply and how </w:t>
      </w:r>
      <w:r w:rsidR="00714DA3">
        <w:rPr>
          <w:rFonts w:cs="Times New Roman"/>
          <w:szCs w:val="24"/>
        </w:rPr>
        <w:t xml:space="preserve">will your application be processed </w:t>
      </w:r>
      <w:hyperlink r:id="rId14" w:history="1">
        <w:r w:rsidR="00714DA3">
          <w:rPr>
            <w:rStyle w:val="Hyperlink"/>
          </w:rPr>
          <w:t>Your application to the ECHR (coe.int)</w:t>
        </w:r>
      </w:hyperlink>
      <w:r w:rsidR="00714DA3">
        <w:rPr>
          <w:rFonts w:cs="Times New Roman"/>
          <w:szCs w:val="24"/>
        </w:rPr>
        <w:t>;</w:t>
      </w:r>
    </w:p>
    <w:p w14:paraId="7AE74A40" w14:textId="151A2124" w:rsidR="00714DA3" w:rsidRDefault="00EF54DB" w:rsidP="008F5FC0">
      <w:pPr>
        <w:pStyle w:val="ListParagraph"/>
        <w:numPr>
          <w:ilvl w:val="2"/>
          <w:numId w:val="1"/>
        </w:numPr>
        <w:rPr>
          <w:rFonts w:cs="Times New Roman"/>
          <w:szCs w:val="24"/>
        </w:rPr>
      </w:pPr>
      <w:r>
        <w:rPr>
          <w:rFonts w:cs="Times New Roman"/>
          <w:szCs w:val="24"/>
        </w:rPr>
        <w:t xml:space="preserve">Information for applicants </w:t>
      </w:r>
      <w:hyperlink r:id="rId15" w:history="1">
        <w:r w:rsidR="007D173E">
          <w:rPr>
            <w:rStyle w:val="Hyperlink"/>
          </w:rPr>
          <w:t>You have an application before the ECHR - Pending application - Procedure (coe.int)</w:t>
        </w:r>
      </w:hyperlink>
      <w:r>
        <w:rPr>
          <w:rFonts w:cs="Times New Roman"/>
          <w:szCs w:val="24"/>
        </w:rPr>
        <w:t>;</w:t>
      </w:r>
    </w:p>
    <w:p w14:paraId="19FAC7B6" w14:textId="4D30E093" w:rsidR="007D173E" w:rsidRDefault="008229BD" w:rsidP="008F5FC0">
      <w:pPr>
        <w:pStyle w:val="ListParagraph"/>
        <w:numPr>
          <w:ilvl w:val="2"/>
          <w:numId w:val="1"/>
        </w:numPr>
        <w:rPr>
          <w:rFonts w:cs="Times New Roman"/>
          <w:szCs w:val="24"/>
        </w:rPr>
      </w:pPr>
      <w:r>
        <w:rPr>
          <w:rFonts w:cs="Times New Roman"/>
          <w:szCs w:val="24"/>
        </w:rPr>
        <w:t>CCBE</w:t>
      </w:r>
      <w:r w:rsidR="0098775B">
        <w:rPr>
          <w:rFonts w:cs="Times New Roman"/>
          <w:szCs w:val="24"/>
        </w:rPr>
        <w:t xml:space="preserve"> ECtHR: Questions and Answers for Lawyers </w:t>
      </w:r>
      <w:hyperlink r:id="rId16" w:history="1">
        <w:r w:rsidR="0098775B">
          <w:rPr>
            <w:rStyle w:val="Hyperlink"/>
          </w:rPr>
          <w:t>ECHR - Questions &amp; Answers for Lawyers (2020) (coe.int)</w:t>
        </w:r>
      </w:hyperlink>
      <w:r w:rsidR="0098775B">
        <w:rPr>
          <w:rFonts w:cs="Times New Roman"/>
          <w:szCs w:val="24"/>
        </w:rPr>
        <w:t>;</w:t>
      </w:r>
    </w:p>
    <w:p w14:paraId="05398B19" w14:textId="53A1E86C" w:rsidR="00AE2AAA" w:rsidRDefault="00AE2AAA" w:rsidP="008F5FC0">
      <w:pPr>
        <w:pStyle w:val="ListParagraph"/>
        <w:numPr>
          <w:ilvl w:val="2"/>
          <w:numId w:val="1"/>
        </w:numPr>
        <w:rPr>
          <w:rFonts w:cs="Times New Roman"/>
          <w:szCs w:val="24"/>
        </w:rPr>
      </w:pPr>
      <w:r>
        <w:rPr>
          <w:rFonts w:cs="Times New Roman"/>
          <w:szCs w:val="24"/>
        </w:rPr>
        <w:t xml:space="preserve">Interim measures </w:t>
      </w:r>
      <w:hyperlink r:id="rId17" w:history="1">
        <w:r w:rsidR="00521C21">
          <w:rPr>
            <w:rStyle w:val="Hyperlink"/>
          </w:rPr>
          <w:t>Practice direction: Requests of interim measures (Rule 39 of the Rules of Court) (coe.int)</w:t>
        </w:r>
      </w:hyperlink>
      <w:r w:rsidR="003E4949">
        <w:t xml:space="preserve"> and </w:t>
      </w:r>
      <w:hyperlink r:id="rId18" w:history="1">
        <w:r w:rsidR="003E4949">
          <w:rPr>
            <w:rStyle w:val="Hyperlink"/>
          </w:rPr>
          <w:t>Interim Measures - Practical Information (coe.int)</w:t>
        </w:r>
      </w:hyperlink>
      <w:r w:rsidR="000F70EF">
        <w:t>.</w:t>
      </w:r>
    </w:p>
    <w:p w14:paraId="66A5CA28" w14:textId="617369EB" w:rsidR="001E0A60" w:rsidRDefault="001E0A60" w:rsidP="001E0A60">
      <w:pPr>
        <w:pStyle w:val="ListParagraph"/>
        <w:numPr>
          <w:ilvl w:val="1"/>
          <w:numId w:val="1"/>
        </w:numPr>
        <w:rPr>
          <w:rFonts w:cs="Times New Roman"/>
          <w:szCs w:val="24"/>
        </w:rPr>
      </w:pPr>
      <w:r>
        <w:rPr>
          <w:rFonts w:cs="Times New Roman"/>
          <w:szCs w:val="24"/>
        </w:rPr>
        <w:t xml:space="preserve">Application Form </w:t>
      </w:r>
      <w:hyperlink r:id="rId19" w:history="1">
        <w:proofErr w:type="spellStart"/>
        <w:r w:rsidR="00066570">
          <w:rPr>
            <w:rStyle w:val="Hyperlink"/>
          </w:rPr>
          <w:t>Application_Form_ENG</w:t>
        </w:r>
        <w:proofErr w:type="spellEnd"/>
        <w:r w:rsidR="00066570">
          <w:rPr>
            <w:rStyle w:val="Hyperlink"/>
          </w:rPr>
          <w:t xml:space="preserve"> (7).pdf</w:t>
        </w:r>
      </w:hyperlink>
      <w:r>
        <w:rPr>
          <w:rFonts w:cs="Times New Roman"/>
          <w:szCs w:val="24"/>
        </w:rPr>
        <w:t>;</w:t>
      </w:r>
    </w:p>
    <w:p w14:paraId="5B2937BB" w14:textId="2ACE4116" w:rsidR="001E0A60" w:rsidRDefault="001E0A60" w:rsidP="001D4612">
      <w:pPr>
        <w:pStyle w:val="ListParagraph"/>
        <w:numPr>
          <w:ilvl w:val="0"/>
          <w:numId w:val="1"/>
        </w:numPr>
        <w:rPr>
          <w:rFonts w:cs="Times New Roman"/>
          <w:szCs w:val="24"/>
        </w:rPr>
      </w:pPr>
      <w:r>
        <w:rPr>
          <w:rFonts w:cs="Times New Roman"/>
          <w:szCs w:val="24"/>
        </w:rPr>
        <w:t>Gaps in the refence documents</w:t>
      </w:r>
    </w:p>
    <w:p w14:paraId="2486803C" w14:textId="77777777" w:rsidR="001E0A60" w:rsidRDefault="001E0A60" w:rsidP="001E0A60">
      <w:pPr>
        <w:pStyle w:val="ListParagraph"/>
        <w:numPr>
          <w:ilvl w:val="1"/>
          <w:numId w:val="1"/>
        </w:numPr>
        <w:rPr>
          <w:rFonts w:cs="Times New Roman"/>
          <w:szCs w:val="24"/>
        </w:rPr>
      </w:pPr>
      <w:r>
        <w:rPr>
          <w:rFonts w:cs="Times New Roman"/>
          <w:szCs w:val="24"/>
        </w:rPr>
        <w:t xml:space="preserve">The Rules of Court and PDs obviously provide essential material. </w:t>
      </w:r>
    </w:p>
    <w:p w14:paraId="32C76179" w14:textId="51C6FEF8" w:rsidR="001E0A60" w:rsidRPr="004E0DA6" w:rsidRDefault="001E0A60" w:rsidP="004E0DA6">
      <w:pPr>
        <w:pStyle w:val="ListParagraph"/>
        <w:numPr>
          <w:ilvl w:val="1"/>
          <w:numId w:val="1"/>
        </w:numPr>
        <w:rPr>
          <w:rFonts w:cs="Times New Roman"/>
          <w:szCs w:val="24"/>
        </w:rPr>
      </w:pPr>
      <w:r w:rsidRPr="004E0DA6">
        <w:rPr>
          <w:rFonts w:cs="Times New Roman"/>
          <w:szCs w:val="24"/>
        </w:rPr>
        <w:t>The Court has implemented a significant number of measures through the working practices of the Registry which are designed to address aspects of its huge backlog of pending cases, some of which are scarcely referred to in the Rules o</w:t>
      </w:r>
      <w:r w:rsidR="00E23643" w:rsidRPr="004E0DA6">
        <w:rPr>
          <w:rFonts w:cs="Times New Roman"/>
          <w:szCs w:val="24"/>
        </w:rPr>
        <w:t>r</w:t>
      </w:r>
      <w:r w:rsidRPr="004E0DA6">
        <w:rPr>
          <w:rFonts w:cs="Times New Roman"/>
          <w:szCs w:val="24"/>
        </w:rPr>
        <w:t xml:space="preserve"> PDs, or even not at all</w:t>
      </w:r>
      <w:r w:rsidR="008B15F0" w:rsidRPr="004E0DA6">
        <w:rPr>
          <w:rFonts w:cs="Times New Roman"/>
          <w:szCs w:val="24"/>
        </w:rPr>
        <w:t>, but the schematic flow chart of formal steps is helpful:</w:t>
      </w:r>
      <w:r w:rsidRPr="004E0DA6">
        <w:rPr>
          <w:rFonts w:cs="Times New Roman"/>
          <w:szCs w:val="24"/>
        </w:rPr>
        <w:t xml:space="preserve"> </w:t>
      </w:r>
      <w:hyperlink r:id="rId20" w:history="1">
        <w:r w:rsidR="004E0DA6">
          <w:rPr>
            <w:rStyle w:val="Hyperlink"/>
          </w:rPr>
          <w:t>Individual Application (coe.int)</w:t>
        </w:r>
      </w:hyperlink>
      <w:r w:rsidR="004E0DA6">
        <w:t>.</w:t>
      </w:r>
    </w:p>
    <w:p w14:paraId="1496B9FD" w14:textId="518068DD" w:rsidR="00816FD0" w:rsidRDefault="00816FD0" w:rsidP="001D4612">
      <w:pPr>
        <w:pStyle w:val="ListParagraph"/>
        <w:numPr>
          <w:ilvl w:val="0"/>
          <w:numId w:val="1"/>
        </w:numPr>
        <w:rPr>
          <w:rFonts w:cs="Times New Roman"/>
          <w:szCs w:val="24"/>
        </w:rPr>
      </w:pPr>
      <w:r>
        <w:rPr>
          <w:rFonts w:cs="Times New Roman"/>
          <w:szCs w:val="24"/>
        </w:rPr>
        <w:t>The majority (</w:t>
      </w:r>
      <w:r w:rsidR="00E06662">
        <w:rPr>
          <w:rFonts w:cs="Times New Roman"/>
          <w:szCs w:val="24"/>
        </w:rPr>
        <w:t>ab</w:t>
      </w:r>
      <w:r>
        <w:rPr>
          <w:rFonts w:cs="Times New Roman"/>
          <w:szCs w:val="24"/>
        </w:rPr>
        <w:t>o</w:t>
      </w:r>
      <w:r w:rsidR="00E06662">
        <w:rPr>
          <w:rFonts w:cs="Times New Roman"/>
          <w:szCs w:val="24"/>
        </w:rPr>
        <w:t>ut</w:t>
      </w:r>
      <w:r>
        <w:rPr>
          <w:rFonts w:cs="Times New Roman"/>
          <w:szCs w:val="24"/>
        </w:rPr>
        <w:t xml:space="preserve"> 80%) of applications are filtered</w:t>
      </w:r>
      <w:r w:rsidR="00976A3F">
        <w:rPr>
          <w:rFonts w:cs="Times New Roman"/>
          <w:szCs w:val="24"/>
        </w:rPr>
        <w:t xml:space="preserve"> out at an initial </w:t>
      </w:r>
      <w:r w:rsidR="00976A3F">
        <w:rPr>
          <w:rFonts w:cs="Times New Roman"/>
          <w:i/>
          <w:iCs/>
          <w:szCs w:val="24"/>
        </w:rPr>
        <w:t xml:space="preserve">triage </w:t>
      </w:r>
      <w:r w:rsidR="00976A3F">
        <w:rPr>
          <w:rFonts w:cs="Times New Roman"/>
          <w:szCs w:val="24"/>
        </w:rPr>
        <w:t>undertaken by the Court Registry</w:t>
      </w:r>
      <w:r w:rsidR="0086224E">
        <w:rPr>
          <w:rFonts w:cs="Times New Roman"/>
          <w:szCs w:val="24"/>
        </w:rPr>
        <w:t>. The</w:t>
      </w:r>
      <w:r w:rsidR="00920CC2">
        <w:rPr>
          <w:rFonts w:cs="Times New Roman"/>
          <w:szCs w:val="24"/>
        </w:rPr>
        <w:t>se cases</w:t>
      </w:r>
      <w:r w:rsidR="0086224E">
        <w:rPr>
          <w:rFonts w:cs="Times New Roman"/>
          <w:szCs w:val="24"/>
        </w:rPr>
        <w:t xml:space="preserve"> are processed for decision by a single judge and </w:t>
      </w:r>
      <w:r w:rsidR="00EE6112">
        <w:rPr>
          <w:rFonts w:cs="Times New Roman"/>
          <w:szCs w:val="24"/>
        </w:rPr>
        <w:t xml:space="preserve">are </w:t>
      </w:r>
      <w:r w:rsidR="0086224E">
        <w:rPr>
          <w:rFonts w:cs="Times New Roman"/>
          <w:szCs w:val="24"/>
        </w:rPr>
        <w:t>rejected as inadmissible within 6 weeks to 6 months of being lodged</w:t>
      </w:r>
      <w:r w:rsidR="005E3A1D">
        <w:rPr>
          <w:rFonts w:cs="Times New Roman"/>
          <w:szCs w:val="24"/>
        </w:rPr>
        <w:t xml:space="preserve"> in a decision of a few lines</w:t>
      </w:r>
      <w:r w:rsidR="007B31F3">
        <w:rPr>
          <w:rFonts w:cs="Times New Roman"/>
          <w:szCs w:val="24"/>
        </w:rPr>
        <w:t xml:space="preserve"> (i</w:t>
      </w:r>
      <w:r w:rsidR="000C302E">
        <w:rPr>
          <w:rFonts w:cs="Times New Roman"/>
          <w:szCs w:val="24"/>
        </w:rPr>
        <w:t>n 2022 some</w:t>
      </w:r>
      <w:r w:rsidR="00A20379">
        <w:rPr>
          <w:rFonts w:cs="Times New Roman"/>
          <w:szCs w:val="24"/>
        </w:rPr>
        <w:t xml:space="preserve"> 3</w:t>
      </w:r>
      <w:r w:rsidR="00927B49">
        <w:rPr>
          <w:rFonts w:cs="Times New Roman"/>
          <w:szCs w:val="24"/>
        </w:rPr>
        <w:t>1</w:t>
      </w:r>
      <w:r w:rsidR="00A20379">
        <w:rPr>
          <w:rFonts w:cs="Times New Roman"/>
          <w:szCs w:val="24"/>
        </w:rPr>
        <w:t>,000 cases were</w:t>
      </w:r>
      <w:r w:rsidR="00927B49">
        <w:rPr>
          <w:rFonts w:cs="Times New Roman"/>
          <w:szCs w:val="24"/>
        </w:rPr>
        <w:t xml:space="preserve"> determined in this way)</w:t>
      </w:r>
      <w:r w:rsidR="00AC72C1" w:rsidRPr="00AC72C1">
        <w:t xml:space="preserve"> </w:t>
      </w:r>
      <w:hyperlink r:id="rId21" w:history="1">
        <w:r w:rsidR="00AC72C1" w:rsidRPr="00AC72C1">
          <w:rPr>
            <w:color w:val="0000FF"/>
            <w:u w:val="single"/>
          </w:rPr>
          <w:t>Analysis of statistics 2022 (coe.int)</w:t>
        </w:r>
      </w:hyperlink>
      <w:r w:rsidR="00AC72C1">
        <w:rPr>
          <w:rFonts w:cs="Times New Roman"/>
          <w:szCs w:val="24"/>
        </w:rPr>
        <w:t>.</w:t>
      </w:r>
    </w:p>
    <w:p w14:paraId="39D30E30" w14:textId="6D0D3084" w:rsidR="001D4612" w:rsidRDefault="001D4612" w:rsidP="001D4612">
      <w:pPr>
        <w:pStyle w:val="ListParagraph"/>
        <w:numPr>
          <w:ilvl w:val="0"/>
          <w:numId w:val="1"/>
        </w:numPr>
        <w:rPr>
          <w:rFonts w:cs="Times New Roman"/>
          <w:szCs w:val="24"/>
        </w:rPr>
      </w:pPr>
      <w:r>
        <w:rPr>
          <w:rFonts w:cs="Times New Roman"/>
          <w:szCs w:val="24"/>
        </w:rPr>
        <w:t xml:space="preserve">Cases which are not filtered out at the initial </w:t>
      </w:r>
      <w:r>
        <w:rPr>
          <w:rFonts w:cs="Times New Roman"/>
          <w:i/>
          <w:iCs/>
          <w:szCs w:val="24"/>
        </w:rPr>
        <w:t xml:space="preserve">triage </w:t>
      </w:r>
      <w:r>
        <w:rPr>
          <w:rFonts w:cs="Times New Roman"/>
          <w:szCs w:val="24"/>
        </w:rPr>
        <w:t xml:space="preserve">as obviously </w:t>
      </w:r>
      <w:r w:rsidR="005E3A1D">
        <w:rPr>
          <w:rFonts w:cs="Times New Roman"/>
          <w:szCs w:val="24"/>
        </w:rPr>
        <w:t>in</w:t>
      </w:r>
      <w:r>
        <w:rPr>
          <w:rFonts w:cs="Times New Roman"/>
          <w:szCs w:val="24"/>
        </w:rPr>
        <w:t>admissible are referred to the respondent Government (‘communication’), so that:</w:t>
      </w:r>
    </w:p>
    <w:p w14:paraId="70D42D57" w14:textId="0CE4B871" w:rsidR="001D4612" w:rsidRDefault="001D4612" w:rsidP="001D4612">
      <w:pPr>
        <w:pStyle w:val="ListParagraph"/>
        <w:numPr>
          <w:ilvl w:val="1"/>
          <w:numId w:val="1"/>
        </w:numPr>
        <w:rPr>
          <w:rFonts w:cs="Times New Roman"/>
          <w:szCs w:val="24"/>
        </w:rPr>
      </w:pPr>
      <w:r>
        <w:rPr>
          <w:rFonts w:cs="Times New Roman"/>
          <w:szCs w:val="24"/>
        </w:rPr>
        <w:lastRenderedPageBreak/>
        <w:t xml:space="preserve">The Court will register the application and inform the applicant/representative of that fact. This may take </w:t>
      </w:r>
      <w:r w:rsidR="00EE6112">
        <w:rPr>
          <w:rFonts w:cs="Times New Roman"/>
          <w:szCs w:val="24"/>
        </w:rPr>
        <w:t xml:space="preserve">six weeks to </w:t>
      </w:r>
      <w:r w:rsidR="00E73846">
        <w:rPr>
          <w:rFonts w:cs="Times New Roman"/>
          <w:szCs w:val="24"/>
        </w:rPr>
        <w:t xml:space="preserve">some </w:t>
      </w:r>
      <w:r>
        <w:rPr>
          <w:rFonts w:cs="Times New Roman"/>
          <w:szCs w:val="24"/>
        </w:rPr>
        <w:t>months, although UK cases are usually handled promptly because they are so rare: currently there are fewer applications per head of population against UK than against any other Council of Europe Member State (0.03 per 1</w:t>
      </w:r>
      <w:r w:rsidR="00690850">
        <w:rPr>
          <w:rFonts w:cs="Times New Roman"/>
          <w:szCs w:val="24"/>
        </w:rPr>
        <w:t>0,</w:t>
      </w:r>
      <w:r>
        <w:rPr>
          <w:rFonts w:cs="Times New Roman"/>
          <w:szCs w:val="24"/>
        </w:rPr>
        <w:t>000)</w:t>
      </w:r>
      <w:r w:rsidR="00162788">
        <w:rPr>
          <w:rFonts w:cs="Times New Roman"/>
          <w:szCs w:val="24"/>
        </w:rPr>
        <w:t xml:space="preserve"> and between five and ten judgments a year</w:t>
      </w:r>
      <w:r w:rsidR="00433A14" w:rsidRPr="00433A14">
        <w:t xml:space="preserve"> </w:t>
      </w:r>
      <w:hyperlink r:id="rId22" w:history="1">
        <w:r w:rsidR="00433A14">
          <w:rPr>
            <w:rStyle w:val="Hyperlink"/>
          </w:rPr>
          <w:t>Analysis of statistics 2022 (coe.int)</w:t>
        </w:r>
      </w:hyperlink>
      <w:r>
        <w:rPr>
          <w:rFonts w:cs="Times New Roman"/>
          <w:szCs w:val="24"/>
        </w:rPr>
        <w:t xml:space="preserve">. Once an application is registered, subsequent submissions etc. can be electronic (on Court's </w:t>
      </w:r>
      <w:proofErr w:type="spellStart"/>
      <w:r>
        <w:rPr>
          <w:rFonts w:cs="Times New Roman"/>
          <w:szCs w:val="24"/>
        </w:rPr>
        <w:t>eComms</w:t>
      </w:r>
      <w:proofErr w:type="spellEnd"/>
      <w:r>
        <w:rPr>
          <w:rFonts w:cs="Times New Roman"/>
          <w:szCs w:val="24"/>
        </w:rPr>
        <w:t xml:space="preserve"> web portal</w:t>
      </w:r>
      <w:r w:rsidR="00387064">
        <w:rPr>
          <w:rFonts w:cs="Times New Roman"/>
          <w:szCs w:val="24"/>
        </w:rPr>
        <w:t>, see 1.c.v above</w:t>
      </w:r>
      <w:r>
        <w:rPr>
          <w:rFonts w:cs="Times New Roman"/>
          <w:szCs w:val="24"/>
        </w:rPr>
        <w:t>).</w:t>
      </w:r>
    </w:p>
    <w:p w14:paraId="579600B1" w14:textId="77777777" w:rsidR="00D0065C" w:rsidRDefault="001D4612" w:rsidP="001D4612">
      <w:pPr>
        <w:pStyle w:val="ListParagraph"/>
        <w:numPr>
          <w:ilvl w:val="1"/>
          <w:numId w:val="1"/>
        </w:numPr>
        <w:rPr>
          <w:rFonts w:cs="Times New Roman"/>
          <w:szCs w:val="24"/>
        </w:rPr>
      </w:pPr>
      <w:r>
        <w:rPr>
          <w:rFonts w:cs="Times New Roman"/>
          <w:szCs w:val="24"/>
        </w:rPr>
        <w:t>Urgent cases which are granted priority (R 41</w:t>
      </w:r>
      <w:proofErr w:type="gramStart"/>
      <w:r>
        <w:rPr>
          <w:rFonts w:cs="Times New Roman"/>
          <w:szCs w:val="24"/>
        </w:rPr>
        <w:t>)</w:t>
      </w:r>
      <w:proofErr w:type="gramEnd"/>
      <w:r>
        <w:rPr>
          <w:rFonts w:cs="Times New Roman"/>
          <w:szCs w:val="24"/>
        </w:rPr>
        <w:t xml:space="preserve"> or interim measures (R39) will be c</w:t>
      </w:r>
      <w:r w:rsidRPr="001F02E9">
        <w:rPr>
          <w:rFonts w:cs="Times New Roman"/>
          <w:szCs w:val="24"/>
        </w:rPr>
        <w:t>ommunicated rapidly,</w:t>
      </w:r>
      <w:r w:rsidR="00D0065C">
        <w:rPr>
          <w:rFonts w:cs="Times New Roman"/>
          <w:szCs w:val="24"/>
        </w:rPr>
        <w:t xml:space="preserve"> </w:t>
      </w:r>
      <w:proofErr w:type="spellStart"/>
      <w:r w:rsidR="00D0065C">
        <w:rPr>
          <w:rFonts w:cs="Times New Roman"/>
          <w:szCs w:val="24"/>
        </w:rPr>
        <w:t>ie</w:t>
      </w:r>
      <w:proofErr w:type="spellEnd"/>
      <w:r w:rsidR="00D0065C">
        <w:rPr>
          <w:rFonts w:cs="Times New Roman"/>
          <w:szCs w:val="24"/>
        </w:rPr>
        <w:t xml:space="preserve"> withing weeks or days respectively,</w:t>
      </w:r>
      <w:r w:rsidRPr="001F02E9">
        <w:rPr>
          <w:rFonts w:cs="Times New Roman"/>
          <w:szCs w:val="24"/>
        </w:rPr>
        <w:t xml:space="preserve"> with a list of questions</w:t>
      </w:r>
      <w:r w:rsidR="00D0065C">
        <w:rPr>
          <w:rFonts w:cs="Times New Roman"/>
          <w:szCs w:val="24"/>
        </w:rPr>
        <w:t xml:space="preserve">. The usual </w:t>
      </w:r>
      <w:r w:rsidRPr="001F02E9">
        <w:rPr>
          <w:rFonts w:cs="Times New Roman"/>
          <w:szCs w:val="24"/>
        </w:rPr>
        <w:t>time limit for the respondent Government to plead in writing</w:t>
      </w:r>
      <w:r w:rsidR="00D0065C">
        <w:rPr>
          <w:rFonts w:cs="Times New Roman"/>
          <w:szCs w:val="24"/>
        </w:rPr>
        <w:t xml:space="preserve"> is 8 weeks</w:t>
      </w:r>
      <w:r w:rsidRPr="001F02E9">
        <w:rPr>
          <w:rFonts w:cs="Times New Roman"/>
          <w:szCs w:val="24"/>
        </w:rPr>
        <w:t xml:space="preserve"> and 6 weeks for the Applicant to reply</w:t>
      </w:r>
      <w:r w:rsidR="00D0065C">
        <w:rPr>
          <w:rFonts w:cs="Times New Roman"/>
          <w:szCs w:val="24"/>
        </w:rPr>
        <w:t xml:space="preserve">. This </w:t>
      </w:r>
      <w:r w:rsidRPr="001F02E9">
        <w:rPr>
          <w:rFonts w:cs="Times New Roman"/>
          <w:szCs w:val="24"/>
        </w:rPr>
        <w:t>can be abridged if urgency dictates</w:t>
      </w:r>
      <w:r w:rsidR="00D0065C">
        <w:rPr>
          <w:rFonts w:cs="Times New Roman"/>
          <w:szCs w:val="24"/>
        </w:rPr>
        <w:t xml:space="preserve">, </w:t>
      </w:r>
      <w:proofErr w:type="spellStart"/>
      <w:proofErr w:type="gramStart"/>
      <w:r w:rsidR="00D0065C">
        <w:rPr>
          <w:rFonts w:cs="Times New Roman"/>
          <w:szCs w:val="24"/>
        </w:rPr>
        <w:t>eg</w:t>
      </w:r>
      <w:proofErr w:type="spellEnd"/>
      <w:proofErr w:type="gramEnd"/>
      <w:r w:rsidR="00D0065C">
        <w:rPr>
          <w:rFonts w:cs="Times New Roman"/>
          <w:szCs w:val="24"/>
        </w:rPr>
        <w:t xml:space="preserve"> to days in life and limb cases</w:t>
      </w:r>
      <w:r w:rsidRPr="001F02E9">
        <w:rPr>
          <w:rFonts w:cs="Times New Roman"/>
          <w:szCs w:val="24"/>
        </w:rPr>
        <w:t xml:space="preserve">. </w:t>
      </w:r>
    </w:p>
    <w:p w14:paraId="16DC54A6" w14:textId="773BBD51" w:rsidR="001D4612" w:rsidRPr="001F02E9" w:rsidRDefault="00D0065C" w:rsidP="001D4612">
      <w:pPr>
        <w:pStyle w:val="ListParagraph"/>
        <w:numPr>
          <w:ilvl w:val="1"/>
          <w:numId w:val="1"/>
        </w:numPr>
        <w:rPr>
          <w:rFonts w:cs="Times New Roman"/>
          <w:szCs w:val="24"/>
        </w:rPr>
      </w:pPr>
      <w:r>
        <w:rPr>
          <w:rFonts w:cs="Times New Roman"/>
          <w:szCs w:val="24"/>
        </w:rPr>
        <w:t>Except in R 39 cases, t</w:t>
      </w:r>
      <w:r w:rsidR="001D4612" w:rsidRPr="001F02E9">
        <w:rPr>
          <w:rFonts w:cs="Times New Roman"/>
          <w:szCs w:val="24"/>
        </w:rPr>
        <w:t>he applicant’s reply should include submissions on just satisfaction (damages and costs) under A 41. Written, and therefore all, pleadings are then concluded except in a tiny minority of cases where further observations are requested and a yet smaller number of hearings</w:t>
      </w:r>
      <w:r>
        <w:rPr>
          <w:rFonts w:cs="Times New Roman"/>
          <w:szCs w:val="24"/>
        </w:rPr>
        <w:t>, which are truly exceptional</w:t>
      </w:r>
      <w:r w:rsidR="001D4612" w:rsidRPr="001F02E9">
        <w:rPr>
          <w:rFonts w:cs="Times New Roman"/>
          <w:szCs w:val="24"/>
        </w:rPr>
        <w:t>;</w:t>
      </w:r>
    </w:p>
    <w:p w14:paraId="1DA82977" w14:textId="72AB79B3" w:rsidR="001D4612" w:rsidRDefault="001D4612" w:rsidP="001D4612">
      <w:pPr>
        <w:pStyle w:val="ListParagraph"/>
        <w:numPr>
          <w:ilvl w:val="1"/>
          <w:numId w:val="1"/>
        </w:numPr>
        <w:rPr>
          <w:rFonts w:cs="Times New Roman"/>
          <w:szCs w:val="24"/>
        </w:rPr>
      </w:pPr>
      <w:r>
        <w:rPr>
          <w:rFonts w:cs="Times New Roman"/>
          <w:szCs w:val="24"/>
        </w:rPr>
        <w:t>Other (</w:t>
      </w:r>
      <w:proofErr w:type="spellStart"/>
      <w:proofErr w:type="gramStart"/>
      <w:r>
        <w:rPr>
          <w:rFonts w:cs="Times New Roman"/>
          <w:szCs w:val="24"/>
        </w:rPr>
        <w:t>ie</w:t>
      </w:r>
      <w:proofErr w:type="spellEnd"/>
      <w:proofErr w:type="gramEnd"/>
      <w:r>
        <w:rPr>
          <w:rFonts w:cs="Times New Roman"/>
          <w:szCs w:val="24"/>
        </w:rPr>
        <w:t xml:space="preserve"> non-urgent) cases will be communicated </w:t>
      </w:r>
      <w:r w:rsidR="00F65A19">
        <w:rPr>
          <w:rFonts w:cs="Times New Roman"/>
          <w:szCs w:val="24"/>
        </w:rPr>
        <w:t>eventually</w:t>
      </w:r>
      <w:r>
        <w:rPr>
          <w:rFonts w:cs="Times New Roman"/>
          <w:szCs w:val="24"/>
        </w:rPr>
        <w:t xml:space="preserve">, but first </w:t>
      </w:r>
      <w:r w:rsidR="00D0065C">
        <w:rPr>
          <w:rFonts w:cs="Times New Roman"/>
          <w:szCs w:val="24"/>
        </w:rPr>
        <w:t xml:space="preserve">wait between months and years and then, when communicated, </w:t>
      </w:r>
      <w:r>
        <w:rPr>
          <w:rFonts w:cs="Times New Roman"/>
          <w:szCs w:val="24"/>
        </w:rPr>
        <w:t>undergo a compulsory ADR period.</w:t>
      </w:r>
      <w:r w:rsidR="00D0065C">
        <w:rPr>
          <w:rFonts w:cs="Times New Roman"/>
          <w:szCs w:val="24"/>
        </w:rPr>
        <w:t xml:space="preserve"> Note, that this may occur years after the application was lodged and that the Court has no notice of whether the applicant </w:t>
      </w:r>
      <w:r w:rsidR="00AF1654">
        <w:rPr>
          <w:rFonts w:cs="Times New Roman"/>
          <w:szCs w:val="24"/>
        </w:rPr>
        <w:t>wants</w:t>
      </w:r>
      <w:r w:rsidR="00202A95">
        <w:rPr>
          <w:rFonts w:cs="Times New Roman"/>
          <w:szCs w:val="24"/>
        </w:rPr>
        <w:t xml:space="preserve"> to</w:t>
      </w:r>
      <w:r w:rsidR="00D0065C">
        <w:rPr>
          <w:rFonts w:cs="Times New Roman"/>
          <w:szCs w:val="24"/>
        </w:rPr>
        <w:t xml:space="preserve"> seek a settlement</w:t>
      </w:r>
      <w:r w:rsidR="00202A95">
        <w:rPr>
          <w:rFonts w:cs="Times New Roman"/>
          <w:szCs w:val="24"/>
        </w:rPr>
        <w:t>,</w:t>
      </w:r>
      <w:r w:rsidR="00D0065C">
        <w:rPr>
          <w:rFonts w:cs="Times New Roman"/>
          <w:szCs w:val="24"/>
        </w:rPr>
        <w:t xml:space="preserve"> or </w:t>
      </w:r>
      <w:r w:rsidR="00202A95">
        <w:rPr>
          <w:rFonts w:cs="Times New Roman"/>
          <w:szCs w:val="24"/>
        </w:rPr>
        <w:t xml:space="preserve">of </w:t>
      </w:r>
      <w:r w:rsidR="00D0065C">
        <w:rPr>
          <w:rFonts w:cs="Times New Roman"/>
          <w:szCs w:val="24"/>
        </w:rPr>
        <w:t xml:space="preserve">the costs or other losses which the applicant </w:t>
      </w:r>
      <w:r w:rsidR="00A014CE">
        <w:rPr>
          <w:rFonts w:cs="Times New Roman"/>
          <w:szCs w:val="24"/>
        </w:rPr>
        <w:t>may have</w:t>
      </w:r>
      <w:r w:rsidR="00D0065C">
        <w:rPr>
          <w:rFonts w:cs="Times New Roman"/>
          <w:szCs w:val="24"/>
        </w:rPr>
        <w:t xml:space="preserve"> incurred</w:t>
      </w:r>
      <w:r w:rsidR="00202A95">
        <w:rPr>
          <w:rFonts w:cs="Times New Roman"/>
          <w:szCs w:val="24"/>
        </w:rPr>
        <w:t xml:space="preserve"> in the domestic proceedings</w:t>
      </w:r>
      <w:r w:rsidR="00D0065C">
        <w:rPr>
          <w:rFonts w:cs="Times New Roman"/>
          <w:szCs w:val="24"/>
        </w:rPr>
        <w:t>. The ADR period is driven by the Court’s desire to reduce its docket of pending cases, including especially, well-established case law cases (WECL)</w:t>
      </w:r>
      <w:r w:rsidR="005D2CCF">
        <w:rPr>
          <w:rFonts w:cs="Times New Roman"/>
          <w:szCs w:val="24"/>
        </w:rPr>
        <w:t>, by encouraging even belated settlements</w:t>
      </w:r>
      <w:r w:rsidR="00D0065C">
        <w:rPr>
          <w:rFonts w:cs="Times New Roman"/>
          <w:szCs w:val="24"/>
        </w:rPr>
        <w:t>.</w:t>
      </w:r>
    </w:p>
    <w:p w14:paraId="413BE25C" w14:textId="31BE40B6" w:rsidR="001D4612" w:rsidRDefault="001D4612" w:rsidP="001D4612">
      <w:pPr>
        <w:pStyle w:val="ListParagraph"/>
        <w:numPr>
          <w:ilvl w:val="0"/>
          <w:numId w:val="1"/>
        </w:numPr>
        <w:rPr>
          <w:rFonts w:cs="Times New Roman"/>
          <w:szCs w:val="24"/>
        </w:rPr>
      </w:pPr>
      <w:r w:rsidRPr="008F7298">
        <w:rPr>
          <w:rFonts w:cs="Times New Roman"/>
          <w:szCs w:val="24"/>
        </w:rPr>
        <w:t>Government Observations follow communication</w:t>
      </w:r>
      <w:r w:rsidR="009E5CEA">
        <w:rPr>
          <w:rFonts w:cs="Times New Roman"/>
          <w:szCs w:val="24"/>
        </w:rPr>
        <w:t>,</w:t>
      </w:r>
      <w:r w:rsidRPr="008F7298">
        <w:rPr>
          <w:rFonts w:cs="Times New Roman"/>
          <w:szCs w:val="24"/>
        </w:rPr>
        <w:t xml:space="preserve"> e</w:t>
      </w:r>
      <w:r w:rsidR="002C4907">
        <w:rPr>
          <w:rFonts w:cs="Times New Roman"/>
          <w:szCs w:val="24"/>
        </w:rPr>
        <w:t>xceptionally</w:t>
      </w:r>
      <w:r w:rsidRPr="008F7298">
        <w:rPr>
          <w:rFonts w:cs="Times New Roman"/>
          <w:szCs w:val="24"/>
        </w:rPr>
        <w:t xml:space="preserve"> on admissibility alone or</w:t>
      </w:r>
      <w:r w:rsidR="000B7FA2">
        <w:rPr>
          <w:rFonts w:cs="Times New Roman"/>
          <w:szCs w:val="24"/>
        </w:rPr>
        <w:t xml:space="preserve"> normally</w:t>
      </w:r>
      <w:r w:rsidRPr="008F7298">
        <w:rPr>
          <w:rFonts w:cs="Times New Roman"/>
          <w:szCs w:val="24"/>
        </w:rPr>
        <w:t xml:space="preserve"> on admissibility and merits together under Rule 54A</w:t>
      </w:r>
      <w:r w:rsidR="00266D3A">
        <w:rPr>
          <w:rFonts w:cs="Times New Roman"/>
          <w:szCs w:val="24"/>
        </w:rPr>
        <w:t>,</w:t>
      </w:r>
      <w:r w:rsidRPr="008F7298">
        <w:rPr>
          <w:rFonts w:cs="Times New Roman"/>
          <w:szCs w:val="24"/>
        </w:rPr>
        <w:t xml:space="preserve"> (Rule 51(3)).</w:t>
      </w:r>
      <w:r w:rsidR="000D6063" w:rsidRPr="000D6063">
        <w:rPr>
          <w:rFonts w:cs="Times New Roman"/>
          <w:szCs w:val="24"/>
        </w:rPr>
        <w:t xml:space="preserve"> </w:t>
      </w:r>
      <w:r w:rsidR="000D6063">
        <w:rPr>
          <w:rFonts w:cs="Times New Roman"/>
          <w:szCs w:val="24"/>
        </w:rPr>
        <w:t>In older cases the Court still usually communicates with a relatively detailed 'Statement of Facts &amp; Issues' prepared by the Registry. The list of questions to the parties may give an indication of Court's initial view of the case. However, in cases which have been identified for communication more promptly (simplified communication), the Government is sent the application form and a short list of questions and is invited to correct or agree the facts as stated by the applicant. This saves the Court Registry’s time, but generally causes delay in the respondent Government (which may not even have been a party to the national proceedings) filing its observations.</w:t>
      </w:r>
    </w:p>
    <w:p w14:paraId="3167BC10" w14:textId="43FCD0CD" w:rsidR="001D4612" w:rsidRDefault="001D4612" w:rsidP="001D4612">
      <w:pPr>
        <w:pStyle w:val="ListParagraph"/>
        <w:numPr>
          <w:ilvl w:val="0"/>
          <w:numId w:val="1"/>
        </w:numPr>
        <w:rPr>
          <w:rFonts w:cs="Times New Roman"/>
          <w:szCs w:val="24"/>
        </w:rPr>
      </w:pPr>
      <w:r>
        <w:rPr>
          <w:rFonts w:cs="Times New Roman"/>
          <w:szCs w:val="24"/>
        </w:rPr>
        <w:t>Interveners may also write to the court seeking permission to intervene at this point (Art 36(2), Rule 44(3))</w:t>
      </w:r>
      <w:r w:rsidR="005F40ED">
        <w:rPr>
          <w:rFonts w:cs="Times New Roman"/>
          <w:szCs w:val="24"/>
        </w:rPr>
        <w:t xml:space="preserve"> </w:t>
      </w:r>
      <w:hyperlink r:id="rId23" w:history="1">
        <w:r w:rsidR="003906B3" w:rsidRPr="003906B3">
          <w:rPr>
            <w:color w:val="0000FF"/>
            <w:u w:val="single"/>
          </w:rPr>
          <w:t>Practice Directions - Third-party intervention under Article 36 § 2 of the Convention or under Article 3, second sentence, of Protocol No. 16 (coe.int)</w:t>
        </w:r>
      </w:hyperlink>
      <w:r>
        <w:rPr>
          <w:rFonts w:cs="Times New Roman"/>
          <w:szCs w:val="24"/>
        </w:rPr>
        <w:t>.</w:t>
      </w:r>
    </w:p>
    <w:p w14:paraId="73A68714" w14:textId="68BB04F0" w:rsidR="001D4612" w:rsidRDefault="001D4612" w:rsidP="001D4612">
      <w:pPr>
        <w:pStyle w:val="ListParagraph"/>
        <w:numPr>
          <w:ilvl w:val="0"/>
          <w:numId w:val="1"/>
        </w:numPr>
        <w:rPr>
          <w:rFonts w:cs="Times New Roman"/>
          <w:szCs w:val="24"/>
        </w:rPr>
      </w:pPr>
      <w:r w:rsidRPr="008F7298">
        <w:rPr>
          <w:rFonts w:cs="Times New Roman"/>
          <w:szCs w:val="24"/>
        </w:rPr>
        <w:t>The Applicant can then submit Observations in Reply (Rule 51(4))</w:t>
      </w:r>
      <w:r w:rsidR="009B2C2B">
        <w:rPr>
          <w:rFonts w:cs="Times New Roman"/>
          <w:szCs w:val="24"/>
        </w:rPr>
        <w:t xml:space="preserve"> see</w:t>
      </w:r>
      <w:r w:rsidR="00D97559">
        <w:rPr>
          <w:rFonts w:cs="Times New Roman"/>
          <w:szCs w:val="24"/>
        </w:rPr>
        <w:t xml:space="preserve"> also </w:t>
      </w:r>
      <w:hyperlink r:id="rId24" w:history="1">
        <w:r w:rsidR="00D97559">
          <w:rPr>
            <w:rStyle w:val="Hyperlink"/>
          </w:rPr>
          <w:t>Guidelines on submitting pleadings following simplified communication (coe.int)</w:t>
        </w:r>
      </w:hyperlink>
      <w:r w:rsidRPr="008F7298">
        <w:rPr>
          <w:rFonts w:cs="Times New Roman"/>
          <w:szCs w:val="24"/>
        </w:rPr>
        <w:t>.</w:t>
      </w:r>
      <w:r w:rsidR="00F56835">
        <w:rPr>
          <w:rFonts w:cs="Times New Roman"/>
          <w:szCs w:val="24"/>
        </w:rPr>
        <w:t xml:space="preserve"> This is the first stage when applicants make submissions on </w:t>
      </w:r>
      <w:r w:rsidR="00413483">
        <w:rPr>
          <w:rFonts w:cs="Times New Roman"/>
          <w:szCs w:val="24"/>
        </w:rPr>
        <w:t>just satisfaction (see 1.c.iv above).</w:t>
      </w:r>
    </w:p>
    <w:p w14:paraId="5698FF3A" w14:textId="71D59372" w:rsidR="001D4612" w:rsidRDefault="001D4612" w:rsidP="001D4612">
      <w:pPr>
        <w:pStyle w:val="ListParagraph"/>
        <w:numPr>
          <w:ilvl w:val="0"/>
          <w:numId w:val="1"/>
        </w:numPr>
        <w:rPr>
          <w:rFonts w:cs="Times New Roman"/>
          <w:szCs w:val="24"/>
        </w:rPr>
      </w:pPr>
      <w:r w:rsidRPr="008F7298">
        <w:rPr>
          <w:rFonts w:cs="Times New Roman"/>
          <w:szCs w:val="24"/>
        </w:rPr>
        <w:t>The Court will then rule on the application</w:t>
      </w:r>
      <w:r w:rsidR="00813377">
        <w:rPr>
          <w:rFonts w:cs="Times New Roman"/>
          <w:szCs w:val="24"/>
        </w:rPr>
        <w:t xml:space="preserve">. This may involve a decision that the application is </w:t>
      </w:r>
      <w:proofErr w:type="gramStart"/>
      <w:r w:rsidR="00813377">
        <w:rPr>
          <w:rFonts w:cs="Times New Roman"/>
          <w:szCs w:val="24"/>
        </w:rPr>
        <w:t>inadmissible</w:t>
      </w:r>
      <w:r w:rsidRPr="008F7298">
        <w:rPr>
          <w:rFonts w:cs="Times New Roman"/>
          <w:szCs w:val="24"/>
        </w:rPr>
        <w:t>, or</w:t>
      </w:r>
      <w:proofErr w:type="gramEnd"/>
      <w:r w:rsidR="009961CA">
        <w:rPr>
          <w:rFonts w:cs="Times New Roman"/>
          <w:szCs w:val="24"/>
        </w:rPr>
        <w:t xml:space="preserve"> involve a judgment which incorporates a decision that the case is admissible</w:t>
      </w:r>
      <w:r w:rsidR="00126B55">
        <w:rPr>
          <w:rFonts w:cs="Times New Roman"/>
          <w:szCs w:val="24"/>
        </w:rPr>
        <w:t xml:space="preserve"> together with the conclusion on the merits.</w:t>
      </w:r>
      <w:r w:rsidR="001E0A60">
        <w:rPr>
          <w:rFonts w:cs="Times New Roman"/>
          <w:szCs w:val="24"/>
        </w:rPr>
        <w:t xml:space="preserve"> </w:t>
      </w:r>
      <w:r w:rsidR="00DF3EEF">
        <w:rPr>
          <w:rFonts w:cs="Times New Roman"/>
          <w:szCs w:val="24"/>
        </w:rPr>
        <w:t>I</w:t>
      </w:r>
      <w:r w:rsidR="001E0A60">
        <w:rPr>
          <w:rFonts w:cs="Times New Roman"/>
          <w:szCs w:val="24"/>
        </w:rPr>
        <w:t>n very rare cases</w:t>
      </w:r>
      <w:r w:rsidRPr="008F7298">
        <w:rPr>
          <w:rFonts w:cs="Times New Roman"/>
          <w:szCs w:val="24"/>
        </w:rPr>
        <w:t xml:space="preserve"> there may </w:t>
      </w:r>
      <w:r w:rsidR="001E0A60">
        <w:rPr>
          <w:rFonts w:cs="Times New Roman"/>
          <w:szCs w:val="24"/>
        </w:rPr>
        <w:t xml:space="preserve">exceptionally </w:t>
      </w:r>
      <w:r w:rsidRPr="008F7298">
        <w:rPr>
          <w:rFonts w:cs="Times New Roman"/>
          <w:szCs w:val="24"/>
        </w:rPr>
        <w:t>be a further round of observations (Rule 59).</w:t>
      </w:r>
    </w:p>
    <w:p w14:paraId="468442BD" w14:textId="69B0EC49" w:rsidR="001D4612" w:rsidRPr="008F7298" w:rsidRDefault="001D4612" w:rsidP="001D4612">
      <w:pPr>
        <w:pStyle w:val="ListParagraph"/>
        <w:numPr>
          <w:ilvl w:val="0"/>
          <w:numId w:val="1"/>
        </w:numPr>
        <w:rPr>
          <w:rFonts w:cs="Times New Roman"/>
          <w:szCs w:val="24"/>
        </w:rPr>
      </w:pPr>
      <w:r w:rsidRPr="008F7298">
        <w:rPr>
          <w:rFonts w:cs="Times New Roman"/>
          <w:szCs w:val="24"/>
        </w:rPr>
        <w:lastRenderedPageBreak/>
        <w:t xml:space="preserve">Hearings are </w:t>
      </w:r>
      <w:r w:rsidR="00DF3EEF">
        <w:rPr>
          <w:rFonts w:cs="Times New Roman"/>
          <w:szCs w:val="24"/>
        </w:rPr>
        <w:t xml:space="preserve">even more </w:t>
      </w:r>
      <w:r w:rsidRPr="008F7298">
        <w:rPr>
          <w:rFonts w:cs="Times New Roman"/>
          <w:szCs w:val="24"/>
        </w:rPr>
        <w:t>exceptional (Rule 59(3)</w:t>
      </w:r>
      <w:r w:rsidR="00DF3EEF">
        <w:rPr>
          <w:rFonts w:cs="Times New Roman"/>
          <w:szCs w:val="24"/>
        </w:rPr>
        <w:t>)</w:t>
      </w:r>
      <w:r w:rsidRPr="008F7298">
        <w:rPr>
          <w:rFonts w:cs="Times New Roman"/>
          <w:szCs w:val="24"/>
        </w:rPr>
        <w:t xml:space="preserve">, unless in the Grand Chamber. </w:t>
      </w:r>
      <w:r w:rsidR="003E7B59">
        <w:rPr>
          <w:rFonts w:cs="Times New Roman"/>
          <w:szCs w:val="24"/>
        </w:rPr>
        <w:t>Hearings are usually of s</w:t>
      </w:r>
      <w:r w:rsidRPr="008F7298">
        <w:rPr>
          <w:rFonts w:cs="Times New Roman"/>
          <w:szCs w:val="24"/>
        </w:rPr>
        <w:t>hort duration</w:t>
      </w:r>
      <w:r w:rsidR="008E5919">
        <w:rPr>
          <w:rFonts w:cs="Times New Roman"/>
          <w:szCs w:val="24"/>
        </w:rPr>
        <w:t xml:space="preserve"> (30-45 minutes each party), followed by the</w:t>
      </w:r>
      <w:r w:rsidRPr="008F7298">
        <w:rPr>
          <w:rFonts w:cs="Times New Roman"/>
          <w:szCs w:val="24"/>
        </w:rPr>
        <w:t xml:space="preserve"> </w:t>
      </w:r>
      <w:r w:rsidR="008E5919">
        <w:rPr>
          <w:rFonts w:cs="Times New Roman"/>
          <w:szCs w:val="24"/>
        </w:rPr>
        <w:t>C</w:t>
      </w:r>
      <w:r w:rsidRPr="008F7298">
        <w:rPr>
          <w:rFonts w:cs="Times New Roman"/>
          <w:szCs w:val="24"/>
        </w:rPr>
        <w:t>ourt</w:t>
      </w:r>
      <w:r w:rsidR="008E5919">
        <w:rPr>
          <w:rFonts w:cs="Times New Roman"/>
          <w:szCs w:val="24"/>
        </w:rPr>
        <w:t>’s</w:t>
      </w:r>
      <w:r w:rsidRPr="008F7298">
        <w:rPr>
          <w:rFonts w:cs="Times New Roman"/>
          <w:szCs w:val="24"/>
        </w:rPr>
        <w:t xml:space="preserve"> questions</w:t>
      </w:r>
      <w:r w:rsidR="008E5919">
        <w:rPr>
          <w:rFonts w:cs="Times New Roman"/>
          <w:szCs w:val="24"/>
        </w:rPr>
        <w:t xml:space="preserve"> and </w:t>
      </w:r>
      <w:proofErr w:type="gramStart"/>
      <w:r w:rsidR="008E5919">
        <w:rPr>
          <w:rFonts w:cs="Times New Roman"/>
          <w:szCs w:val="24"/>
        </w:rPr>
        <w:t>15 minute</w:t>
      </w:r>
      <w:proofErr w:type="gramEnd"/>
      <w:r w:rsidR="008E5919">
        <w:rPr>
          <w:rFonts w:cs="Times New Roman"/>
          <w:szCs w:val="24"/>
        </w:rPr>
        <w:t xml:space="preserve"> reply for each party</w:t>
      </w:r>
      <w:r w:rsidRPr="008F7298">
        <w:rPr>
          <w:rFonts w:cs="Times New Roman"/>
          <w:szCs w:val="24"/>
        </w:rPr>
        <w:t>.</w:t>
      </w:r>
    </w:p>
    <w:p w14:paraId="5B01315D" w14:textId="77777777" w:rsidR="001D4612" w:rsidRPr="00491F67" w:rsidRDefault="001D4612" w:rsidP="001D4612">
      <w:pPr>
        <w:pStyle w:val="ListParagraph"/>
        <w:rPr>
          <w:rFonts w:cs="Times New Roman"/>
          <w:szCs w:val="24"/>
        </w:rPr>
      </w:pPr>
    </w:p>
    <w:p w14:paraId="57CF9B6B" w14:textId="0CB2EA58" w:rsidR="001D4612" w:rsidRPr="00CB4FF4" w:rsidRDefault="003E7B59" w:rsidP="001D4612">
      <w:pPr>
        <w:rPr>
          <w:rFonts w:cs="Times New Roman"/>
          <w:szCs w:val="24"/>
          <w:u w:val="single"/>
        </w:rPr>
      </w:pPr>
      <w:r>
        <w:rPr>
          <w:rFonts w:cs="Times New Roman"/>
          <w:szCs w:val="24"/>
          <w:u w:val="single"/>
        </w:rPr>
        <w:t>2</w:t>
      </w:r>
      <w:r w:rsidR="001D4612" w:rsidRPr="00CB4FF4">
        <w:rPr>
          <w:rFonts w:cs="Times New Roman"/>
          <w:szCs w:val="24"/>
          <w:u w:val="single"/>
        </w:rPr>
        <w:t>. DELAYS AND ACCELERATION/ PRIORITY / INTERIM MEASURES</w:t>
      </w:r>
    </w:p>
    <w:p w14:paraId="2A35EAD5" w14:textId="28A46461" w:rsidR="0097575A" w:rsidRDefault="003E7B59" w:rsidP="001D4612">
      <w:pPr>
        <w:pStyle w:val="ListParagraph"/>
        <w:numPr>
          <w:ilvl w:val="0"/>
          <w:numId w:val="2"/>
        </w:numPr>
        <w:rPr>
          <w:rFonts w:cs="Times New Roman"/>
          <w:szCs w:val="24"/>
        </w:rPr>
      </w:pPr>
      <w:r>
        <w:rPr>
          <w:rFonts w:cs="Times New Roman"/>
          <w:szCs w:val="24"/>
        </w:rPr>
        <w:t>Several aspects of the outline abo</w:t>
      </w:r>
      <w:r w:rsidR="00196160">
        <w:rPr>
          <w:rFonts w:cs="Times New Roman"/>
          <w:szCs w:val="24"/>
        </w:rPr>
        <w:t>v</w:t>
      </w:r>
      <w:r>
        <w:rPr>
          <w:rFonts w:cs="Times New Roman"/>
          <w:szCs w:val="24"/>
        </w:rPr>
        <w:t>e illustrate the Court’s efforts to address its crushing bac</w:t>
      </w:r>
      <w:r w:rsidR="00196160">
        <w:rPr>
          <w:rFonts w:cs="Times New Roman"/>
          <w:szCs w:val="24"/>
        </w:rPr>
        <w:t>klog of pending cases. The total docket exceeds 7</w:t>
      </w:r>
      <w:r w:rsidR="0018299A">
        <w:rPr>
          <w:rFonts w:cs="Times New Roman"/>
          <w:szCs w:val="24"/>
        </w:rPr>
        <w:t>4,000</w:t>
      </w:r>
      <w:r w:rsidR="008C1A7D">
        <w:rPr>
          <w:rFonts w:cs="Times New Roman"/>
          <w:szCs w:val="24"/>
        </w:rPr>
        <w:t xml:space="preserve">. </w:t>
      </w:r>
      <w:r w:rsidR="00D6554E">
        <w:rPr>
          <w:rFonts w:cs="Times New Roman"/>
          <w:szCs w:val="24"/>
        </w:rPr>
        <w:t xml:space="preserve">The Court gives barely </w:t>
      </w:r>
      <w:r w:rsidR="005D42BA">
        <w:rPr>
          <w:rFonts w:cs="Times New Roman"/>
          <w:szCs w:val="24"/>
        </w:rPr>
        <w:t>one thousand judgments a year, albeit many in joined cases</w:t>
      </w:r>
      <w:r w:rsidR="00A95379">
        <w:rPr>
          <w:rFonts w:cs="Times New Roman"/>
          <w:szCs w:val="24"/>
        </w:rPr>
        <w:t xml:space="preserve">. </w:t>
      </w:r>
      <w:r w:rsidR="008C1A7D">
        <w:rPr>
          <w:rFonts w:cs="Times New Roman"/>
          <w:szCs w:val="24"/>
        </w:rPr>
        <w:t xml:space="preserve">Even </w:t>
      </w:r>
      <w:r w:rsidR="00A95379">
        <w:rPr>
          <w:rFonts w:cs="Times New Roman"/>
          <w:szCs w:val="24"/>
        </w:rPr>
        <w:t>though</w:t>
      </w:r>
      <w:r w:rsidR="008C1A7D">
        <w:rPr>
          <w:rFonts w:cs="Times New Roman"/>
          <w:szCs w:val="24"/>
        </w:rPr>
        <w:t xml:space="preserve"> many</w:t>
      </w:r>
      <w:r w:rsidR="00A95379">
        <w:rPr>
          <w:rFonts w:cs="Times New Roman"/>
          <w:szCs w:val="24"/>
        </w:rPr>
        <w:t xml:space="preserve"> applications</w:t>
      </w:r>
      <w:r w:rsidR="008C1A7D">
        <w:rPr>
          <w:rFonts w:cs="Times New Roman"/>
          <w:szCs w:val="24"/>
        </w:rPr>
        <w:t xml:space="preserve"> are baseless</w:t>
      </w:r>
      <w:r w:rsidR="00931B5E">
        <w:rPr>
          <w:rFonts w:cs="Times New Roman"/>
          <w:szCs w:val="24"/>
        </w:rPr>
        <w:t xml:space="preserve"> and are rapidly reject</w:t>
      </w:r>
      <w:r w:rsidR="00A95379">
        <w:rPr>
          <w:rFonts w:cs="Times New Roman"/>
          <w:szCs w:val="24"/>
        </w:rPr>
        <w:t>ed</w:t>
      </w:r>
      <w:r w:rsidR="00931B5E">
        <w:rPr>
          <w:rFonts w:cs="Times New Roman"/>
          <w:szCs w:val="24"/>
        </w:rPr>
        <w:t xml:space="preserve"> by a single judge decision</w:t>
      </w:r>
      <w:r w:rsidR="008C1A7D">
        <w:rPr>
          <w:rFonts w:cs="Times New Roman"/>
          <w:szCs w:val="24"/>
        </w:rPr>
        <w:t>, cumulative delays mean that</w:t>
      </w:r>
      <w:r w:rsidR="0018299A">
        <w:rPr>
          <w:rFonts w:cs="Times New Roman"/>
          <w:szCs w:val="24"/>
        </w:rPr>
        <w:t xml:space="preserve"> some 2</w:t>
      </w:r>
      <w:r w:rsidR="00C87A50">
        <w:rPr>
          <w:rFonts w:cs="Times New Roman"/>
          <w:szCs w:val="24"/>
        </w:rPr>
        <w:t>4</w:t>
      </w:r>
      <w:r w:rsidR="0018299A">
        <w:rPr>
          <w:rFonts w:cs="Times New Roman"/>
          <w:szCs w:val="24"/>
        </w:rPr>
        <w:t>,000</w:t>
      </w:r>
      <w:r w:rsidR="00980E4A">
        <w:rPr>
          <w:rFonts w:cs="Times New Roman"/>
          <w:szCs w:val="24"/>
        </w:rPr>
        <w:t xml:space="preserve"> non-trivial but non-priority cases await their first </w:t>
      </w:r>
      <w:r w:rsidR="00931B5E">
        <w:rPr>
          <w:rFonts w:cs="Times New Roman"/>
          <w:szCs w:val="24"/>
        </w:rPr>
        <w:t xml:space="preserve">judicial </w:t>
      </w:r>
      <w:r w:rsidR="00980E4A">
        <w:rPr>
          <w:rFonts w:cs="Times New Roman"/>
          <w:szCs w:val="24"/>
        </w:rPr>
        <w:t>examination</w:t>
      </w:r>
      <w:r w:rsidR="00931B5E">
        <w:rPr>
          <w:rFonts w:cs="Times New Roman"/>
          <w:szCs w:val="24"/>
        </w:rPr>
        <w:t xml:space="preserve">. </w:t>
      </w:r>
      <w:r w:rsidR="00405F05">
        <w:rPr>
          <w:rFonts w:cs="Times New Roman"/>
          <w:szCs w:val="24"/>
        </w:rPr>
        <w:t>Many have been pending for five years, some for eight or more</w:t>
      </w:r>
      <w:r w:rsidR="004A2405">
        <w:rPr>
          <w:rFonts w:cs="Times New Roman"/>
          <w:szCs w:val="24"/>
        </w:rPr>
        <w:t>, after potentially lengthy domestic proceedings</w:t>
      </w:r>
      <w:r w:rsidR="00BE53E9">
        <w:rPr>
          <w:rFonts w:cs="Times New Roman"/>
          <w:szCs w:val="24"/>
        </w:rPr>
        <w:t xml:space="preserve">. </w:t>
      </w:r>
    </w:p>
    <w:p w14:paraId="4D1B9DB2" w14:textId="77777777" w:rsidR="008D0BEF" w:rsidRDefault="00601EF6" w:rsidP="001D4612">
      <w:pPr>
        <w:pStyle w:val="ListParagraph"/>
        <w:numPr>
          <w:ilvl w:val="0"/>
          <w:numId w:val="2"/>
        </w:numPr>
        <w:rPr>
          <w:rFonts w:cs="Times New Roman"/>
          <w:szCs w:val="24"/>
        </w:rPr>
      </w:pPr>
      <w:r>
        <w:rPr>
          <w:rFonts w:cs="Times New Roman"/>
          <w:szCs w:val="24"/>
        </w:rPr>
        <w:t>Since 2009 the Court has operated a published Priority Policy which was revised in 2017</w:t>
      </w:r>
      <w:r w:rsidR="008D0BEF">
        <w:rPr>
          <w:rFonts w:cs="Times New Roman"/>
          <w:szCs w:val="24"/>
        </w:rPr>
        <w:t xml:space="preserve"> as follows:</w:t>
      </w:r>
    </w:p>
    <w:p w14:paraId="20505538" w14:textId="482E9F87" w:rsidR="002A0531" w:rsidRDefault="002A0531" w:rsidP="002A0531">
      <w:pPr>
        <w:pStyle w:val="ListParagraph"/>
        <w:jc w:val="center"/>
        <w:rPr>
          <w:rFonts w:cs="Times New Roman"/>
          <w:szCs w:val="24"/>
        </w:rPr>
      </w:pPr>
      <w:r w:rsidRPr="002A0531">
        <w:rPr>
          <w:rFonts w:cs="Times New Roman"/>
          <w:noProof/>
          <w:szCs w:val="24"/>
        </w:rPr>
        <w:drawing>
          <wp:inline distT="0" distB="0" distL="0" distR="0" wp14:anchorId="5AB2531C" wp14:editId="52D4F8D3">
            <wp:extent cx="5731510" cy="2357120"/>
            <wp:effectExtent l="0" t="0" r="2540" b="5080"/>
            <wp:docPr id="1522523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357120"/>
                    </a:xfrm>
                    <a:prstGeom prst="rect">
                      <a:avLst/>
                    </a:prstGeom>
                    <a:noFill/>
                    <a:ln>
                      <a:noFill/>
                    </a:ln>
                  </pic:spPr>
                </pic:pic>
              </a:graphicData>
            </a:graphic>
          </wp:inline>
        </w:drawing>
      </w:r>
    </w:p>
    <w:p w14:paraId="483C1AE9" w14:textId="19D42C14" w:rsidR="008D0BEF" w:rsidRDefault="009249E7" w:rsidP="009249E7">
      <w:pPr>
        <w:pStyle w:val="Default"/>
        <w:ind w:left="720"/>
        <w:jc w:val="center"/>
        <w:rPr>
          <w:b/>
          <w:bCs/>
        </w:rPr>
      </w:pPr>
      <w:r w:rsidRPr="009249E7">
        <w:rPr>
          <w:b/>
          <w:bCs/>
        </w:rPr>
        <w:t>The Court’s Priority Policy</w:t>
      </w:r>
    </w:p>
    <w:p w14:paraId="04FC7975" w14:textId="77777777" w:rsidR="009249E7" w:rsidRPr="009249E7" w:rsidRDefault="009249E7" w:rsidP="009249E7">
      <w:pPr>
        <w:pStyle w:val="Default"/>
        <w:ind w:left="720"/>
        <w:jc w:val="center"/>
        <w:rPr>
          <w:b/>
          <w:bCs/>
        </w:rPr>
      </w:pPr>
    </w:p>
    <w:p w14:paraId="44E13BA7" w14:textId="77777777" w:rsidR="008D0BEF" w:rsidRDefault="008D0BEF" w:rsidP="00A62A30">
      <w:pPr>
        <w:pStyle w:val="Default"/>
        <w:ind w:left="720"/>
        <w:rPr>
          <w:sz w:val="22"/>
          <w:szCs w:val="22"/>
        </w:rPr>
      </w:pPr>
      <w:r>
        <w:t xml:space="preserve"> </w:t>
      </w:r>
      <w:r>
        <w:rPr>
          <w:sz w:val="22"/>
          <w:szCs w:val="22"/>
        </w:rPr>
        <w:t xml:space="preserve">In June 2009 the Court adopted a priority policy with a view to speeding up the processing and adjudication of the most important, </w:t>
      </w:r>
      <w:proofErr w:type="gramStart"/>
      <w:r>
        <w:rPr>
          <w:sz w:val="22"/>
          <w:szCs w:val="22"/>
        </w:rPr>
        <w:t>serious</w:t>
      </w:r>
      <w:proofErr w:type="gramEnd"/>
      <w:r>
        <w:rPr>
          <w:sz w:val="22"/>
          <w:szCs w:val="22"/>
        </w:rPr>
        <w:t xml:space="preserve"> and urgent cases. It established seven categories ranging from urgent cases concerning vulnerable applicants (Category I) to clearly inadmissible cases dealt with by a Single Judge (Category VII). It has now conducted a review of that policy and with effect from 22 May 2017 has made some amendments to the priority categories. </w:t>
      </w:r>
    </w:p>
    <w:p w14:paraId="0FBA5BCC" w14:textId="77777777" w:rsidR="008D0BEF" w:rsidRDefault="008D0BEF" w:rsidP="00A62A30">
      <w:pPr>
        <w:pStyle w:val="Default"/>
        <w:ind w:left="720"/>
        <w:rPr>
          <w:sz w:val="22"/>
          <w:szCs w:val="22"/>
        </w:rPr>
      </w:pPr>
      <w:r>
        <w:rPr>
          <w:b/>
          <w:bCs/>
          <w:sz w:val="22"/>
          <w:szCs w:val="22"/>
        </w:rPr>
        <w:t xml:space="preserve">Interstate cases </w:t>
      </w:r>
    </w:p>
    <w:p w14:paraId="7B606AB0" w14:textId="77777777" w:rsidR="008D0BEF" w:rsidRDefault="008D0BEF" w:rsidP="00A62A30">
      <w:pPr>
        <w:pStyle w:val="Default"/>
        <w:ind w:left="720"/>
        <w:rPr>
          <w:sz w:val="22"/>
          <w:szCs w:val="22"/>
        </w:rPr>
      </w:pPr>
      <w:proofErr w:type="gramStart"/>
      <w:r>
        <w:rPr>
          <w:sz w:val="22"/>
          <w:szCs w:val="22"/>
        </w:rPr>
        <w:t>Firstly</w:t>
      </w:r>
      <w:proofErr w:type="gramEnd"/>
      <w:r>
        <w:rPr>
          <w:sz w:val="22"/>
          <w:szCs w:val="22"/>
        </w:rPr>
        <w:t xml:space="preserve"> it decided to place inter-State cases (Article 33 of the Convention), which were hitherto in Category II, outside the priority policy in view of their special character which in any event attracted special procedural treatment. </w:t>
      </w:r>
    </w:p>
    <w:p w14:paraId="3CE9CA03" w14:textId="77777777" w:rsidR="008D0BEF" w:rsidRDefault="008D0BEF" w:rsidP="00A62A30">
      <w:pPr>
        <w:pStyle w:val="Default"/>
        <w:ind w:left="720"/>
        <w:rPr>
          <w:sz w:val="22"/>
          <w:szCs w:val="22"/>
        </w:rPr>
      </w:pPr>
      <w:r>
        <w:rPr>
          <w:b/>
          <w:bCs/>
          <w:sz w:val="22"/>
          <w:szCs w:val="22"/>
        </w:rPr>
        <w:t xml:space="preserve">Persons deprived of </w:t>
      </w:r>
      <w:proofErr w:type="gramStart"/>
      <w:r>
        <w:rPr>
          <w:b/>
          <w:bCs/>
          <w:sz w:val="22"/>
          <w:szCs w:val="22"/>
        </w:rPr>
        <w:t>liberty</w:t>
      </w:r>
      <w:proofErr w:type="gramEnd"/>
      <w:r>
        <w:rPr>
          <w:b/>
          <w:bCs/>
          <w:sz w:val="22"/>
          <w:szCs w:val="22"/>
        </w:rPr>
        <w:t xml:space="preserve"> </w:t>
      </w:r>
    </w:p>
    <w:p w14:paraId="6FF7BA77" w14:textId="77777777" w:rsidR="008D0BEF" w:rsidRDefault="008D0BEF" w:rsidP="00A62A30">
      <w:pPr>
        <w:pStyle w:val="Default"/>
        <w:ind w:left="720"/>
        <w:rPr>
          <w:sz w:val="22"/>
          <w:szCs w:val="22"/>
        </w:rPr>
      </w:pPr>
      <w:r>
        <w:rPr>
          <w:sz w:val="22"/>
          <w:szCs w:val="22"/>
        </w:rPr>
        <w:t xml:space="preserve">The Court also extended the definition of cases falling under Category I to cover situations where “the applicant is deprived of liberty as a direct consequence of the alleged violation of his or her Convention rights”. </w:t>
      </w:r>
    </w:p>
    <w:p w14:paraId="66997C48" w14:textId="77777777" w:rsidR="00C31121" w:rsidRDefault="00C31121" w:rsidP="00A62A30">
      <w:pPr>
        <w:pStyle w:val="Default"/>
        <w:ind w:left="720"/>
        <w:rPr>
          <w:sz w:val="22"/>
          <w:szCs w:val="22"/>
        </w:rPr>
      </w:pPr>
    </w:p>
    <w:p w14:paraId="5D11615E" w14:textId="7ED14E1A" w:rsidR="00C31121" w:rsidRDefault="00C31121" w:rsidP="00A62A30">
      <w:pPr>
        <w:pStyle w:val="Default"/>
        <w:ind w:left="720"/>
        <w:rPr>
          <w:sz w:val="22"/>
          <w:szCs w:val="22"/>
        </w:rPr>
      </w:pPr>
      <w:r>
        <w:rPr>
          <w:sz w:val="22"/>
          <w:szCs w:val="22"/>
        </w:rPr>
        <w:t>The amended table defining the various categories of priority is appended below.</w:t>
      </w:r>
    </w:p>
    <w:tbl>
      <w:tblPr>
        <w:tblW w:w="8221" w:type="dxa"/>
        <w:tblInd w:w="79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681"/>
        <w:gridCol w:w="4540"/>
      </w:tblGrid>
      <w:tr w:rsidR="008D0BEF" w14:paraId="58BFD579" w14:textId="77777777" w:rsidTr="00C31121">
        <w:trPr>
          <w:trHeight w:val="677"/>
        </w:trPr>
        <w:tc>
          <w:tcPr>
            <w:tcW w:w="3681" w:type="dxa"/>
            <w:tcBorders>
              <w:top w:val="none" w:sz="6" w:space="0" w:color="auto"/>
              <w:bottom w:val="none" w:sz="6" w:space="0" w:color="auto"/>
              <w:right w:val="none" w:sz="6" w:space="0" w:color="auto"/>
            </w:tcBorders>
          </w:tcPr>
          <w:p w14:paraId="0DB95E38" w14:textId="7C73B031" w:rsidR="008D0BEF" w:rsidRDefault="008D0BEF">
            <w:pPr>
              <w:pStyle w:val="Default"/>
              <w:rPr>
                <w:sz w:val="22"/>
                <w:szCs w:val="22"/>
              </w:rPr>
            </w:pPr>
            <w:r>
              <w:rPr>
                <w:sz w:val="22"/>
                <w:szCs w:val="22"/>
              </w:rPr>
              <w:t xml:space="preserve">I. </w:t>
            </w:r>
          </w:p>
        </w:tc>
        <w:tc>
          <w:tcPr>
            <w:tcW w:w="4540" w:type="dxa"/>
            <w:tcBorders>
              <w:top w:val="none" w:sz="6" w:space="0" w:color="auto"/>
              <w:left w:val="none" w:sz="6" w:space="0" w:color="auto"/>
              <w:bottom w:val="none" w:sz="6" w:space="0" w:color="auto"/>
            </w:tcBorders>
          </w:tcPr>
          <w:p w14:paraId="1B604EE8" w14:textId="77777777" w:rsidR="008D0BEF" w:rsidRDefault="008D0BEF">
            <w:pPr>
              <w:pStyle w:val="Default"/>
              <w:rPr>
                <w:sz w:val="22"/>
                <w:szCs w:val="22"/>
              </w:rPr>
            </w:pPr>
            <w:r>
              <w:rPr>
                <w:b/>
                <w:bCs/>
                <w:sz w:val="22"/>
                <w:szCs w:val="22"/>
              </w:rPr>
              <w:t xml:space="preserve">Urgent </w:t>
            </w:r>
            <w:r>
              <w:rPr>
                <w:sz w:val="22"/>
                <w:szCs w:val="22"/>
              </w:rPr>
              <w:t>applications (</w:t>
            </w:r>
            <w:proofErr w:type="gramStart"/>
            <w:r>
              <w:rPr>
                <w:sz w:val="22"/>
                <w:szCs w:val="22"/>
              </w:rPr>
              <w:t>in particular risk</w:t>
            </w:r>
            <w:proofErr w:type="gramEnd"/>
            <w:r>
              <w:rPr>
                <w:sz w:val="22"/>
                <w:szCs w:val="22"/>
              </w:rPr>
              <w:t xml:space="preserve"> to life or health of the applicant, the applicant deprived </w:t>
            </w:r>
            <w:r>
              <w:rPr>
                <w:sz w:val="22"/>
                <w:szCs w:val="22"/>
              </w:rPr>
              <w:lastRenderedPageBreak/>
              <w:t xml:space="preserve">of liberty as a direct consequence of the alleged violation of his or her Convention rights, other circumstances linked to the personal or family situation of the applicant, particularly where the well-being of a child is at issue, application of Rule 39 of the Rules of Court) </w:t>
            </w:r>
          </w:p>
        </w:tc>
      </w:tr>
      <w:tr w:rsidR="008D0BEF" w14:paraId="6D461546" w14:textId="77777777" w:rsidTr="00C31121">
        <w:trPr>
          <w:trHeight w:val="678"/>
        </w:trPr>
        <w:tc>
          <w:tcPr>
            <w:tcW w:w="3681" w:type="dxa"/>
            <w:tcBorders>
              <w:top w:val="none" w:sz="6" w:space="0" w:color="auto"/>
              <w:bottom w:val="none" w:sz="6" w:space="0" w:color="auto"/>
              <w:right w:val="none" w:sz="6" w:space="0" w:color="auto"/>
            </w:tcBorders>
          </w:tcPr>
          <w:p w14:paraId="526D6FD4" w14:textId="77777777" w:rsidR="008D0BEF" w:rsidRDefault="008D0BEF">
            <w:pPr>
              <w:pStyle w:val="Default"/>
              <w:rPr>
                <w:sz w:val="22"/>
                <w:szCs w:val="22"/>
              </w:rPr>
            </w:pPr>
            <w:r>
              <w:rPr>
                <w:sz w:val="22"/>
                <w:szCs w:val="22"/>
              </w:rPr>
              <w:lastRenderedPageBreak/>
              <w:t xml:space="preserve">II. </w:t>
            </w:r>
          </w:p>
        </w:tc>
        <w:tc>
          <w:tcPr>
            <w:tcW w:w="4540" w:type="dxa"/>
            <w:tcBorders>
              <w:top w:val="none" w:sz="6" w:space="0" w:color="auto"/>
              <w:left w:val="none" w:sz="6" w:space="0" w:color="auto"/>
              <w:bottom w:val="none" w:sz="6" w:space="0" w:color="auto"/>
            </w:tcBorders>
          </w:tcPr>
          <w:p w14:paraId="4B67EEEF" w14:textId="77777777" w:rsidR="008D0BEF" w:rsidRDefault="008D0BEF">
            <w:pPr>
              <w:pStyle w:val="Default"/>
              <w:rPr>
                <w:sz w:val="22"/>
                <w:szCs w:val="22"/>
              </w:rPr>
            </w:pPr>
            <w:r>
              <w:rPr>
                <w:sz w:val="22"/>
                <w:szCs w:val="22"/>
              </w:rPr>
              <w:t xml:space="preserve">Applications raising questions capable of having an </w:t>
            </w:r>
            <w:r>
              <w:rPr>
                <w:b/>
                <w:bCs/>
                <w:sz w:val="22"/>
                <w:szCs w:val="22"/>
              </w:rPr>
              <w:t xml:space="preserve">impact on the effectiveness of the Convention system </w:t>
            </w:r>
            <w:r>
              <w:rPr>
                <w:sz w:val="22"/>
                <w:szCs w:val="22"/>
              </w:rPr>
              <w:t>(</w:t>
            </w:r>
            <w:proofErr w:type="gramStart"/>
            <w:r>
              <w:rPr>
                <w:sz w:val="22"/>
                <w:szCs w:val="22"/>
              </w:rPr>
              <w:t>in particular a</w:t>
            </w:r>
            <w:proofErr w:type="gramEnd"/>
            <w:r>
              <w:rPr>
                <w:sz w:val="22"/>
                <w:szCs w:val="22"/>
              </w:rPr>
              <w:t xml:space="preserve"> structural or endemic situation that the Court has not yet examined, pilot-judgment procedure) or applications raising an </w:t>
            </w:r>
            <w:r>
              <w:rPr>
                <w:b/>
                <w:bCs/>
                <w:sz w:val="22"/>
                <w:szCs w:val="22"/>
              </w:rPr>
              <w:t xml:space="preserve">important question of general interest </w:t>
            </w:r>
            <w:r>
              <w:rPr>
                <w:sz w:val="22"/>
                <w:szCs w:val="22"/>
              </w:rPr>
              <w:t xml:space="preserve">(in particular a serious question capable of having major implications for domestic legal systems or for the European system) </w:t>
            </w:r>
          </w:p>
        </w:tc>
      </w:tr>
      <w:tr w:rsidR="008D0BEF" w14:paraId="30E4CFD8" w14:textId="77777777" w:rsidTr="00C31121">
        <w:trPr>
          <w:trHeight w:val="544"/>
        </w:trPr>
        <w:tc>
          <w:tcPr>
            <w:tcW w:w="3681" w:type="dxa"/>
            <w:tcBorders>
              <w:top w:val="none" w:sz="6" w:space="0" w:color="auto"/>
              <w:bottom w:val="none" w:sz="6" w:space="0" w:color="auto"/>
              <w:right w:val="none" w:sz="6" w:space="0" w:color="auto"/>
            </w:tcBorders>
          </w:tcPr>
          <w:p w14:paraId="34AAFF17" w14:textId="77777777" w:rsidR="008D0BEF" w:rsidRDefault="008D0BEF">
            <w:pPr>
              <w:pStyle w:val="Default"/>
              <w:rPr>
                <w:sz w:val="22"/>
                <w:szCs w:val="22"/>
              </w:rPr>
            </w:pPr>
            <w:r>
              <w:rPr>
                <w:sz w:val="22"/>
                <w:szCs w:val="22"/>
              </w:rPr>
              <w:t xml:space="preserve">III. </w:t>
            </w:r>
          </w:p>
        </w:tc>
        <w:tc>
          <w:tcPr>
            <w:tcW w:w="4540" w:type="dxa"/>
            <w:tcBorders>
              <w:top w:val="none" w:sz="6" w:space="0" w:color="auto"/>
              <w:left w:val="none" w:sz="6" w:space="0" w:color="auto"/>
              <w:bottom w:val="none" w:sz="6" w:space="0" w:color="auto"/>
            </w:tcBorders>
          </w:tcPr>
          <w:p w14:paraId="1F08D51F" w14:textId="77777777" w:rsidR="008D0BEF" w:rsidRDefault="008D0BEF">
            <w:pPr>
              <w:pStyle w:val="Default"/>
              <w:rPr>
                <w:sz w:val="22"/>
                <w:szCs w:val="22"/>
              </w:rPr>
            </w:pPr>
            <w:r>
              <w:rPr>
                <w:sz w:val="22"/>
                <w:szCs w:val="22"/>
              </w:rPr>
              <w:t xml:space="preserve">Applications which on their face raise as main complaints issues under </w:t>
            </w:r>
            <w:r>
              <w:rPr>
                <w:b/>
                <w:bCs/>
                <w:sz w:val="22"/>
                <w:szCs w:val="22"/>
              </w:rPr>
              <w:t xml:space="preserve">Articles 2, 3, 4 or 5 § 1 </w:t>
            </w:r>
            <w:r>
              <w:rPr>
                <w:sz w:val="22"/>
                <w:szCs w:val="22"/>
              </w:rPr>
              <w:t xml:space="preserve">of the Convention (“core rights”), irrespective of whether they are repetitive, and which have given rise to direct threats to the physical integrity and dignity of human beings </w:t>
            </w:r>
          </w:p>
        </w:tc>
      </w:tr>
      <w:tr w:rsidR="008D0BEF" w14:paraId="3B77F01C" w14:textId="77777777" w:rsidTr="00C31121">
        <w:trPr>
          <w:trHeight w:val="140"/>
        </w:trPr>
        <w:tc>
          <w:tcPr>
            <w:tcW w:w="3681" w:type="dxa"/>
            <w:tcBorders>
              <w:top w:val="none" w:sz="6" w:space="0" w:color="auto"/>
              <w:bottom w:val="none" w:sz="6" w:space="0" w:color="auto"/>
              <w:right w:val="none" w:sz="6" w:space="0" w:color="auto"/>
            </w:tcBorders>
          </w:tcPr>
          <w:p w14:paraId="5506532E" w14:textId="77777777" w:rsidR="008D0BEF" w:rsidRDefault="008D0BEF">
            <w:pPr>
              <w:pStyle w:val="Default"/>
              <w:rPr>
                <w:sz w:val="22"/>
                <w:szCs w:val="22"/>
              </w:rPr>
            </w:pPr>
            <w:r>
              <w:rPr>
                <w:sz w:val="22"/>
                <w:szCs w:val="22"/>
              </w:rPr>
              <w:t xml:space="preserve">IV. </w:t>
            </w:r>
          </w:p>
        </w:tc>
        <w:tc>
          <w:tcPr>
            <w:tcW w:w="4540" w:type="dxa"/>
            <w:tcBorders>
              <w:top w:val="none" w:sz="6" w:space="0" w:color="auto"/>
              <w:left w:val="none" w:sz="6" w:space="0" w:color="auto"/>
              <w:bottom w:val="none" w:sz="6" w:space="0" w:color="auto"/>
            </w:tcBorders>
          </w:tcPr>
          <w:p w14:paraId="6EB1F103" w14:textId="77777777" w:rsidR="008D0BEF" w:rsidRDefault="008D0BEF">
            <w:pPr>
              <w:pStyle w:val="Default"/>
              <w:rPr>
                <w:sz w:val="22"/>
                <w:szCs w:val="22"/>
              </w:rPr>
            </w:pPr>
            <w:r>
              <w:rPr>
                <w:sz w:val="22"/>
                <w:szCs w:val="22"/>
              </w:rPr>
              <w:t xml:space="preserve">Potentially well-founded applications based on other Articles </w:t>
            </w:r>
          </w:p>
        </w:tc>
      </w:tr>
      <w:tr w:rsidR="008D0BEF" w14:paraId="2773932A" w14:textId="77777777" w:rsidTr="00C31121">
        <w:trPr>
          <w:trHeight w:val="274"/>
        </w:trPr>
        <w:tc>
          <w:tcPr>
            <w:tcW w:w="3681" w:type="dxa"/>
            <w:tcBorders>
              <w:top w:val="none" w:sz="6" w:space="0" w:color="auto"/>
              <w:bottom w:val="none" w:sz="6" w:space="0" w:color="auto"/>
              <w:right w:val="none" w:sz="6" w:space="0" w:color="auto"/>
            </w:tcBorders>
          </w:tcPr>
          <w:p w14:paraId="03432AEE" w14:textId="77777777" w:rsidR="008D0BEF" w:rsidRDefault="008D0BEF">
            <w:pPr>
              <w:pStyle w:val="Default"/>
              <w:rPr>
                <w:sz w:val="22"/>
                <w:szCs w:val="22"/>
              </w:rPr>
            </w:pPr>
            <w:r>
              <w:rPr>
                <w:sz w:val="22"/>
                <w:szCs w:val="22"/>
              </w:rPr>
              <w:t xml:space="preserve">V. </w:t>
            </w:r>
          </w:p>
        </w:tc>
        <w:tc>
          <w:tcPr>
            <w:tcW w:w="4540" w:type="dxa"/>
            <w:tcBorders>
              <w:top w:val="none" w:sz="6" w:space="0" w:color="auto"/>
              <w:left w:val="none" w:sz="6" w:space="0" w:color="auto"/>
              <w:bottom w:val="none" w:sz="6" w:space="0" w:color="auto"/>
            </w:tcBorders>
          </w:tcPr>
          <w:p w14:paraId="42D2AE40" w14:textId="77777777" w:rsidR="008D0BEF" w:rsidRDefault="008D0BEF">
            <w:pPr>
              <w:pStyle w:val="Default"/>
              <w:rPr>
                <w:sz w:val="22"/>
                <w:szCs w:val="22"/>
              </w:rPr>
            </w:pPr>
            <w:r>
              <w:rPr>
                <w:sz w:val="22"/>
                <w:szCs w:val="22"/>
              </w:rPr>
              <w:t xml:space="preserve">Applications raising issues already dealt with in a pilot/leading judgment (“well-established case-law cases”) </w:t>
            </w:r>
          </w:p>
        </w:tc>
      </w:tr>
      <w:tr w:rsidR="008D0BEF" w14:paraId="13141D8D" w14:textId="77777777" w:rsidTr="00C31121">
        <w:trPr>
          <w:trHeight w:val="140"/>
        </w:trPr>
        <w:tc>
          <w:tcPr>
            <w:tcW w:w="3681" w:type="dxa"/>
            <w:tcBorders>
              <w:top w:val="none" w:sz="6" w:space="0" w:color="auto"/>
              <w:bottom w:val="none" w:sz="6" w:space="0" w:color="auto"/>
              <w:right w:val="none" w:sz="6" w:space="0" w:color="auto"/>
            </w:tcBorders>
          </w:tcPr>
          <w:p w14:paraId="17E1686F" w14:textId="77777777" w:rsidR="008D0BEF" w:rsidRDefault="008D0BEF">
            <w:pPr>
              <w:pStyle w:val="Default"/>
              <w:rPr>
                <w:sz w:val="22"/>
                <w:szCs w:val="22"/>
              </w:rPr>
            </w:pPr>
            <w:r>
              <w:rPr>
                <w:sz w:val="22"/>
                <w:szCs w:val="22"/>
              </w:rPr>
              <w:t xml:space="preserve">VI. </w:t>
            </w:r>
          </w:p>
        </w:tc>
        <w:tc>
          <w:tcPr>
            <w:tcW w:w="4540" w:type="dxa"/>
            <w:tcBorders>
              <w:top w:val="none" w:sz="6" w:space="0" w:color="auto"/>
              <w:left w:val="none" w:sz="6" w:space="0" w:color="auto"/>
              <w:bottom w:val="none" w:sz="6" w:space="0" w:color="auto"/>
            </w:tcBorders>
          </w:tcPr>
          <w:p w14:paraId="3D702A50" w14:textId="77777777" w:rsidR="008D0BEF" w:rsidRDefault="008D0BEF">
            <w:pPr>
              <w:pStyle w:val="Default"/>
              <w:rPr>
                <w:sz w:val="22"/>
                <w:szCs w:val="22"/>
              </w:rPr>
            </w:pPr>
            <w:r>
              <w:rPr>
                <w:sz w:val="22"/>
                <w:szCs w:val="22"/>
              </w:rPr>
              <w:t xml:space="preserve">Applications identified as giving rise to a problem of admissibility </w:t>
            </w:r>
          </w:p>
        </w:tc>
      </w:tr>
      <w:tr w:rsidR="008D0BEF" w14:paraId="0FE69CB0" w14:textId="77777777" w:rsidTr="00C31121">
        <w:trPr>
          <w:trHeight w:val="140"/>
        </w:trPr>
        <w:tc>
          <w:tcPr>
            <w:tcW w:w="3681" w:type="dxa"/>
            <w:tcBorders>
              <w:top w:val="none" w:sz="6" w:space="0" w:color="auto"/>
              <w:bottom w:val="none" w:sz="6" w:space="0" w:color="auto"/>
              <w:right w:val="none" w:sz="6" w:space="0" w:color="auto"/>
            </w:tcBorders>
          </w:tcPr>
          <w:p w14:paraId="05BE5F93" w14:textId="77777777" w:rsidR="008D0BEF" w:rsidRDefault="008D0BEF">
            <w:pPr>
              <w:pStyle w:val="Default"/>
              <w:rPr>
                <w:sz w:val="22"/>
                <w:szCs w:val="22"/>
              </w:rPr>
            </w:pPr>
            <w:r>
              <w:rPr>
                <w:sz w:val="22"/>
                <w:szCs w:val="22"/>
              </w:rPr>
              <w:t xml:space="preserve">VII. </w:t>
            </w:r>
          </w:p>
        </w:tc>
        <w:tc>
          <w:tcPr>
            <w:tcW w:w="4540" w:type="dxa"/>
            <w:tcBorders>
              <w:top w:val="none" w:sz="6" w:space="0" w:color="auto"/>
              <w:left w:val="none" w:sz="6" w:space="0" w:color="auto"/>
              <w:bottom w:val="none" w:sz="6" w:space="0" w:color="auto"/>
            </w:tcBorders>
          </w:tcPr>
          <w:p w14:paraId="73654A77" w14:textId="77777777" w:rsidR="008D0BEF" w:rsidRDefault="008D0BEF">
            <w:pPr>
              <w:pStyle w:val="Default"/>
              <w:rPr>
                <w:sz w:val="22"/>
                <w:szCs w:val="22"/>
              </w:rPr>
            </w:pPr>
            <w:r>
              <w:rPr>
                <w:sz w:val="22"/>
                <w:szCs w:val="22"/>
              </w:rPr>
              <w:t xml:space="preserve">Applications which are manifestly inadmissible </w:t>
            </w:r>
          </w:p>
        </w:tc>
      </w:tr>
    </w:tbl>
    <w:p w14:paraId="688F472B" w14:textId="77777777" w:rsidR="008D0BEF" w:rsidRDefault="008D0BEF" w:rsidP="008D0BEF">
      <w:pPr>
        <w:pStyle w:val="ListParagraph"/>
        <w:rPr>
          <w:rFonts w:cs="Times New Roman"/>
          <w:szCs w:val="24"/>
        </w:rPr>
      </w:pPr>
    </w:p>
    <w:p w14:paraId="528A4185" w14:textId="7149319E" w:rsidR="001D4612" w:rsidRPr="006E43EE" w:rsidRDefault="001D4612" w:rsidP="001D4612">
      <w:pPr>
        <w:pStyle w:val="ListParagraph"/>
        <w:numPr>
          <w:ilvl w:val="0"/>
          <w:numId w:val="2"/>
        </w:numPr>
        <w:rPr>
          <w:rFonts w:cs="Times New Roman"/>
          <w:szCs w:val="24"/>
        </w:rPr>
      </w:pPr>
      <w:r>
        <w:rPr>
          <w:rFonts w:cs="Times New Roman"/>
          <w:szCs w:val="24"/>
        </w:rPr>
        <w:t>The Court deals rapidly with life and death cases</w:t>
      </w:r>
      <w:r w:rsidR="007A3E40">
        <w:rPr>
          <w:rFonts w:cs="Times New Roman"/>
          <w:szCs w:val="24"/>
        </w:rPr>
        <w:t xml:space="preserve"> in Category I</w:t>
      </w:r>
      <w:r>
        <w:rPr>
          <w:rFonts w:cs="Times New Roman"/>
          <w:szCs w:val="24"/>
        </w:rPr>
        <w:t xml:space="preserve">, involving imminent exposure to A 2 or 3 treatment: it can grant interim measures under R 39 which are binding and very widely respected. An example </w:t>
      </w:r>
      <w:proofErr w:type="spellStart"/>
      <w:r w:rsidRPr="00092562">
        <w:rPr>
          <w:rFonts w:cs="Times New Roman"/>
          <w:i/>
          <w:iCs/>
          <w:szCs w:val="24"/>
        </w:rPr>
        <w:t>F</w:t>
      </w:r>
      <w:proofErr w:type="spellEnd"/>
      <w:r w:rsidRPr="00092562">
        <w:rPr>
          <w:rFonts w:cs="Times New Roman"/>
          <w:i/>
          <w:iCs/>
          <w:szCs w:val="24"/>
        </w:rPr>
        <w:t xml:space="preserve"> v UK</w:t>
      </w:r>
      <w:r>
        <w:rPr>
          <w:rFonts w:cs="Times New Roman"/>
          <w:szCs w:val="24"/>
        </w:rPr>
        <w:t xml:space="preserve">: power to terminate life sustaining treatment of </w:t>
      </w:r>
      <w:proofErr w:type="gramStart"/>
      <w:r>
        <w:rPr>
          <w:rFonts w:cs="Times New Roman"/>
          <w:szCs w:val="24"/>
        </w:rPr>
        <w:t>2 year old</w:t>
      </w:r>
      <w:proofErr w:type="gramEnd"/>
      <w:r>
        <w:rPr>
          <w:rFonts w:cs="Times New Roman"/>
          <w:szCs w:val="24"/>
        </w:rPr>
        <w:t xml:space="preserve"> child.</w:t>
      </w:r>
    </w:p>
    <w:p w14:paraId="41422C95" w14:textId="77777777" w:rsidR="004864FA" w:rsidRDefault="001D4612" w:rsidP="001D4612">
      <w:pPr>
        <w:pStyle w:val="ListParagraph"/>
        <w:numPr>
          <w:ilvl w:val="0"/>
          <w:numId w:val="2"/>
        </w:numPr>
        <w:rPr>
          <w:rFonts w:cs="Times New Roman"/>
          <w:szCs w:val="24"/>
        </w:rPr>
      </w:pPr>
      <w:r>
        <w:rPr>
          <w:rFonts w:cs="Times New Roman"/>
          <w:szCs w:val="24"/>
        </w:rPr>
        <w:t xml:space="preserve">Other allegations of A 3 treatment through detention, failure to prevent or investigate death under A 2 and unlawful detention under A 5 all rank as priority cases and are </w:t>
      </w:r>
      <w:r w:rsidR="004C0E73">
        <w:rPr>
          <w:rFonts w:cs="Times New Roman"/>
          <w:szCs w:val="24"/>
        </w:rPr>
        <w:t xml:space="preserve">usually </w:t>
      </w:r>
      <w:r>
        <w:rPr>
          <w:rFonts w:cs="Times New Roman"/>
          <w:szCs w:val="24"/>
        </w:rPr>
        <w:t>dealt with promptly</w:t>
      </w:r>
      <w:r w:rsidR="006012D9">
        <w:rPr>
          <w:rFonts w:cs="Times New Roman"/>
          <w:szCs w:val="24"/>
        </w:rPr>
        <w:t xml:space="preserve">. If interim relief is refused the applicant has the option to maintain a ‘normal’ application, but it is usually pointless: if the relevant urgent event, such as extradition, has occurred, the applicant will </w:t>
      </w:r>
      <w:r w:rsidR="004864FA">
        <w:rPr>
          <w:rFonts w:cs="Times New Roman"/>
          <w:szCs w:val="24"/>
        </w:rPr>
        <w:t xml:space="preserve">usually </w:t>
      </w:r>
      <w:r w:rsidR="006012D9">
        <w:rPr>
          <w:rFonts w:cs="Times New Roman"/>
          <w:szCs w:val="24"/>
        </w:rPr>
        <w:t>have no interest in pursuing</w:t>
      </w:r>
      <w:r w:rsidR="004864FA">
        <w:rPr>
          <w:rFonts w:cs="Times New Roman"/>
          <w:szCs w:val="24"/>
        </w:rPr>
        <w:t xml:space="preserve"> matters.</w:t>
      </w:r>
    </w:p>
    <w:p w14:paraId="1D006981" w14:textId="5FA682A6" w:rsidR="001D4612" w:rsidRDefault="004864FA" w:rsidP="001D4612">
      <w:pPr>
        <w:pStyle w:val="ListParagraph"/>
        <w:numPr>
          <w:ilvl w:val="0"/>
          <w:numId w:val="2"/>
        </w:numPr>
        <w:rPr>
          <w:rFonts w:cs="Times New Roman"/>
          <w:szCs w:val="24"/>
        </w:rPr>
      </w:pPr>
      <w:r>
        <w:rPr>
          <w:rFonts w:cs="Times New Roman"/>
          <w:szCs w:val="24"/>
        </w:rPr>
        <w:t>If interim measures are granted</w:t>
      </w:r>
      <w:r w:rsidR="004F6774">
        <w:rPr>
          <w:rFonts w:cs="Times New Roman"/>
          <w:szCs w:val="24"/>
        </w:rPr>
        <w:t>, and maintained, the application is likely to be settled</w:t>
      </w:r>
      <w:r w:rsidR="00194A9F">
        <w:rPr>
          <w:rFonts w:cs="Times New Roman"/>
          <w:szCs w:val="24"/>
        </w:rPr>
        <w:t xml:space="preserve"> to the applicant’s satisfaction, such as by the refusal of removal</w:t>
      </w:r>
      <w:r w:rsidR="003059A2">
        <w:rPr>
          <w:rFonts w:cs="Times New Roman"/>
          <w:szCs w:val="24"/>
        </w:rPr>
        <w:t>. In consequence, many high priority cases are rapidly resolved one way o</w:t>
      </w:r>
      <w:r w:rsidR="00D0198A">
        <w:rPr>
          <w:rFonts w:cs="Times New Roman"/>
          <w:szCs w:val="24"/>
        </w:rPr>
        <w:t>r</w:t>
      </w:r>
      <w:r w:rsidR="003059A2">
        <w:rPr>
          <w:rFonts w:cs="Times New Roman"/>
          <w:szCs w:val="24"/>
        </w:rPr>
        <w:t xml:space="preserve"> the other and do not stay long on the </w:t>
      </w:r>
      <w:r w:rsidR="00D0198A">
        <w:rPr>
          <w:rFonts w:cs="Times New Roman"/>
          <w:szCs w:val="24"/>
        </w:rPr>
        <w:t>Court’s</w:t>
      </w:r>
      <w:r w:rsidR="00C3079C">
        <w:rPr>
          <w:rFonts w:cs="Times New Roman"/>
          <w:szCs w:val="24"/>
        </w:rPr>
        <w:t xml:space="preserve"> </w:t>
      </w:r>
      <w:r w:rsidR="00B26DD9">
        <w:rPr>
          <w:rFonts w:cs="Times New Roman"/>
          <w:szCs w:val="24"/>
        </w:rPr>
        <w:t>docket</w:t>
      </w:r>
      <w:r w:rsidR="00C3079C">
        <w:rPr>
          <w:rFonts w:cs="Times New Roman"/>
          <w:szCs w:val="24"/>
        </w:rPr>
        <w:t>. However, there are exceptions, such as the extraordinary judgment in</w:t>
      </w:r>
      <w:r w:rsidR="00E156B7">
        <w:rPr>
          <w:rFonts w:cs="Times New Roman"/>
          <w:szCs w:val="24"/>
        </w:rPr>
        <w:t xml:space="preserve"> </w:t>
      </w:r>
      <w:proofErr w:type="spellStart"/>
      <w:r w:rsidR="00E156B7">
        <w:rPr>
          <w:rFonts w:cs="Times New Roman"/>
          <w:i/>
          <w:iCs/>
          <w:szCs w:val="24"/>
        </w:rPr>
        <w:t>Mamas</w:t>
      </w:r>
      <w:r w:rsidR="004E0716">
        <w:rPr>
          <w:rFonts w:cs="Times New Roman"/>
          <w:i/>
          <w:iCs/>
          <w:szCs w:val="24"/>
        </w:rPr>
        <w:t>a</w:t>
      </w:r>
      <w:r w:rsidR="00E156B7">
        <w:rPr>
          <w:rFonts w:cs="Times New Roman"/>
          <w:i/>
          <w:iCs/>
          <w:szCs w:val="24"/>
        </w:rPr>
        <w:t>khlis</w:t>
      </w:r>
      <w:r w:rsidR="004E0716">
        <w:rPr>
          <w:rFonts w:cs="Times New Roman"/>
          <w:i/>
          <w:iCs/>
          <w:szCs w:val="24"/>
        </w:rPr>
        <w:t>i</w:t>
      </w:r>
      <w:proofErr w:type="spellEnd"/>
      <w:r w:rsidR="004E0716">
        <w:rPr>
          <w:rFonts w:cs="Times New Roman"/>
          <w:i/>
          <w:iCs/>
          <w:szCs w:val="24"/>
        </w:rPr>
        <w:t xml:space="preserve"> v Georgia</w:t>
      </w:r>
      <w:r w:rsidR="002075C2">
        <w:rPr>
          <w:rFonts w:cs="Times New Roman"/>
          <w:i/>
          <w:iCs/>
          <w:szCs w:val="24"/>
        </w:rPr>
        <w:t xml:space="preserve"> and Russia</w:t>
      </w:r>
      <w:r w:rsidR="00C3079C">
        <w:rPr>
          <w:rFonts w:cs="Times New Roman"/>
          <w:szCs w:val="24"/>
        </w:rPr>
        <w:t xml:space="preserve"> </w:t>
      </w:r>
      <w:r w:rsidR="007D47EE">
        <w:rPr>
          <w:rFonts w:cs="Times New Roman"/>
          <w:szCs w:val="24"/>
        </w:rPr>
        <w:t>7 March 2023</w:t>
      </w:r>
      <w:r w:rsidR="00930103">
        <w:rPr>
          <w:rFonts w:cs="Times New Roman"/>
          <w:szCs w:val="24"/>
        </w:rPr>
        <w:t xml:space="preserve"> </w:t>
      </w:r>
      <w:hyperlink r:id="rId26" w:anchor="{%22itemid%22:[%22001-223361%22]}" w:history="1">
        <w:r w:rsidR="009F62A9">
          <w:rPr>
            <w:rStyle w:val="Hyperlink"/>
          </w:rPr>
          <w:t>MAMASAKHLISI AND OTHERS v. GEORGIA AND RUSSIA (coe.int)</w:t>
        </w:r>
      </w:hyperlink>
      <w:r w:rsidR="00F3316F">
        <w:rPr>
          <w:rFonts w:cs="Times New Roman"/>
          <w:szCs w:val="24"/>
        </w:rPr>
        <w:t>, where interim measures imposed in 2006 were lifted in 2012</w:t>
      </w:r>
      <w:r w:rsidR="003C50D5">
        <w:rPr>
          <w:rFonts w:cs="Times New Roman"/>
          <w:szCs w:val="24"/>
        </w:rPr>
        <w:t>, although the applicant who complained of his conditions of detention had been released to safety in 2007</w:t>
      </w:r>
      <w:r w:rsidR="007D47EE">
        <w:rPr>
          <w:rFonts w:cs="Times New Roman"/>
          <w:szCs w:val="24"/>
        </w:rPr>
        <w:t>.</w:t>
      </w:r>
    </w:p>
    <w:p w14:paraId="33DC39B4" w14:textId="324AE957" w:rsidR="001D4612" w:rsidRDefault="001D4612" w:rsidP="001D4612">
      <w:pPr>
        <w:pStyle w:val="ListParagraph"/>
        <w:numPr>
          <w:ilvl w:val="0"/>
          <w:numId w:val="2"/>
        </w:numPr>
        <w:rPr>
          <w:rFonts w:cs="Times New Roman"/>
          <w:szCs w:val="24"/>
        </w:rPr>
      </w:pPr>
      <w:r>
        <w:rPr>
          <w:rFonts w:cs="Times New Roman"/>
          <w:szCs w:val="24"/>
        </w:rPr>
        <w:lastRenderedPageBreak/>
        <w:t xml:space="preserve">Together these ‘priority’ cases accounted for </w:t>
      </w:r>
      <w:r w:rsidR="004805E7">
        <w:rPr>
          <w:rFonts w:cs="Times New Roman"/>
          <w:szCs w:val="24"/>
        </w:rPr>
        <w:t>about</w:t>
      </w:r>
      <w:r>
        <w:rPr>
          <w:rFonts w:cs="Times New Roman"/>
          <w:szCs w:val="24"/>
        </w:rPr>
        <w:t xml:space="preserve"> 10k applications in 202</w:t>
      </w:r>
      <w:r w:rsidR="00966E29">
        <w:rPr>
          <w:rFonts w:cs="Times New Roman"/>
          <w:szCs w:val="24"/>
        </w:rPr>
        <w:t>2</w:t>
      </w:r>
      <w:r w:rsidR="00C87A50">
        <w:rPr>
          <w:rFonts w:cs="Times New Roman"/>
          <w:szCs w:val="24"/>
        </w:rPr>
        <w:t>.</w:t>
      </w:r>
    </w:p>
    <w:p w14:paraId="5A662A55" w14:textId="7978B2FD" w:rsidR="00C70BC5" w:rsidRDefault="001D4612" w:rsidP="001D4612">
      <w:pPr>
        <w:pStyle w:val="ListParagraph"/>
        <w:numPr>
          <w:ilvl w:val="0"/>
          <w:numId w:val="2"/>
        </w:numPr>
        <w:rPr>
          <w:rFonts w:cs="Times New Roman"/>
          <w:szCs w:val="24"/>
        </w:rPr>
      </w:pPr>
      <w:r>
        <w:rPr>
          <w:rFonts w:cs="Times New Roman"/>
          <w:szCs w:val="24"/>
        </w:rPr>
        <w:t>Of the 24k+ pending cases alleging violations of A 6, 8, 9, 10, 11, 12, A1P1, A2P1, A3P1 etc (so called Category IV cases) about 500 were singled out in 2021 as ‘impact’ cases</w:t>
      </w:r>
      <w:r w:rsidR="004E4DDF">
        <w:rPr>
          <w:rFonts w:cs="Times New Roman"/>
          <w:szCs w:val="24"/>
        </w:rPr>
        <w:t xml:space="preserve"> and so in practice elevated to Category II</w:t>
      </w:r>
      <w:r w:rsidR="00527AE5">
        <w:rPr>
          <w:rFonts w:cs="Times New Roman"/>
          <w:szCs w:val="24"/>
        </w:rPr>
        <w:t>, although they are referred to</w:t>
      </w:r>
      <w:r w:rsidR="004B63DA">
        <w:rPr>
          <w:rFonts w:cs="Times New Roman"/>
          <w:szCs w:val="24"/>
        </w:rPr>
        <w:t xml:space="preserve"> in the Registry </w:t>
      </w:r>
      <w:r w:rsidR="00527AE5">
        <w:rPr>
          <w:rFonts w:cs="Times New Roman"/>
          <w:szCs w:val="24"/>
        </w:rPr>
        <w:t>a</w:t>
      </w:r>
      <w:r w:rsidR="004B63DA">
        <w:rPr>
          <w:rFonts w:cs="Times New Roman"/>
          <w:szCs w:val="24"/>
        </w:rPr>
        <w:t xml:space="preserve">s </w:t>
      </w:r>
      <w:r w:rsidR="00C70BC5">
        <w:rPr>
          <w:rFonts w:cs="Times New Roman"/>
          <w:szCs w:val="24"/>
        </w:rPr>
        <w:t>Category IV+</w:t>
      </w:r>
      <w:r>
        <w:rPr>
          <w:rFonts w:cs="Times New Roman"/>
          <w:szCs w:val="24"/>
        </w:rPr>
        <w:t xml:space="preserve">. </w:t>
      </w:r>
    </w:p>
    <w:p w14:paraId="0FA8C6C6" w14:textId="77777777" w:rsidR="00A95C60" w:rsidRDefault="00C70BC5" w:rsidP="001D4612">
      <w:pPr>
        <w:pStyle w:val="ListParagraph"/>
        <w:numPr>
          <w:ilvl w:val="0"/>
          <w:numId w:val="2"/>
        </w:numPr>
        <w:rPr>
          <w:rFonts w:cs="Times New Roman"/>
          <w:szCs w:val="24"/>
        </w:rPr>
      </w:pPr>
      <w:r>
        <w:rPr>
          <w:rFonts w:cs="Times New Roman"/>
          <w:szCs w:val="24"/>
        </w:rPr>
        <w:t xml:space="preserve">The </w:t>
      </w:r>
      <w:r w:rsidR="008D1B5C">
        <w:rPr>
          <w:rFonts w:cs="Times New Roman"/>
          <w:szCs w:val="24"/>
        </w:rPr>
        <w:t>impact criteria remain elusive, particularly because the Court does not</w:t>
      </w:r>
      <w:r w:rsidR="00B66C04">
        <w:rPr>
          <w:rFonts w:cs="Times New Roman"/>
          <w:szCs w:val="24"/>
        </w:rPr>
        <w:t xml:space="preserve"> </w:t>
      </w:r>
      <w:r w:rsidR="008D1B5C">
        <w:rPr>
          <w:rFonts w:cs="Times New Roman"/>
          <w:szCs w:val="24"/>
        </w:rPr>
        <w:t>record in its decisions or judgments that a particular application has been so categorised</w:t>
      </w:r>
      <w:r w:rsidR="00B66C04">
        <w:rPr>
          <w:rFonts w:cs="Times New Roman"/>
          <w:szCs w:val="24"/>
        </w:rPr>
        <w:t xml:space="preserve">: only the Parties are told. </w:t>
      </w:r>
      <w:r w:rsidR="00250F95">
        <w:rPr>
          <w:rFonts w:cs="Times New Roman"/>
          <w:szCs w:val="24"/>
        </w:rPr>
        <w:t>Inevitably, with so many pending cases</w:t>
      </w:r>
      <w:r w:rsidR="00F539E5">
        <w:rPr>
          <w:rFonts w:cs="Times New Roman"/>
          <w:szCs w:val="24"/>
        </w:rPr>
        <w:t xml:space="preserve"> in Category IV, the impact case innovation will have limited effect.</w:t>
      </w:r>
    </w:p>
    <w:p w14:paraId="76937EEC" w14:textId="77777777" w:rsidR="00241EBE" w:rsidRDefault="00241EBE"/>
    <w:sectPr w:rsidR="00241EBE">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EECC" w14:textId="77777777" w:rsidR="00FD3D54" w:rsidRDefault="00FD3D54" w:rsidP="005D622A">
      <w:pPr>
        <w:spacing w:after="0" w:line="240" w:lineRule="auto"/>
      </w:pPr>
      <w:r>
        <w:separator/>
      </w:r>
    </w:p>
  </w:endnote>
  <w:endnote w:type="continuationSeparator" w:id="0">
    <w:p w14:paraId="267B236D" w14:textId="77777777" w:rsidR="00FD3D54" w:rsidRDefault="00FD3D54" w:rsidP="005D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819462"/>
      <w:docPartObj>
        <w:docPartGallery w:val="Page Numbers (Bottom of Page)"/>
        <w:docPartUnique/>
      </w:docPartObj>
    </w:sdtPr>
    <w:sdtEndPr>
      <w:rPr>
        <w:noProof/>
      </w:rPr>
    </w:sdtEndPr>
    <w:sdtContent>
      <w:p w14:paraId="2B91BD05" w14:textId="6ABEEE49" w:rsidR="005D622A" w:rsidRDefault="005D62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384DC" w14:textId="77777777" w:rsidR="005D622A" w:rsidRDefault="005D6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0792" w14:textId="77777777" w:rsidR="00FD3D54" w:rsidRDefault="00FD3D54" w:rsidP="005D622A">
      <w:pPr>
        <w:spacing w:after="0" w:line="240" w:lineRule="auto"/>
      </w:pPr>
      <w:r>
        <w:separator/>
      </w:r>
    </w:p>
  </w:footnote>
  <w:footnote w:type="continuationSeparator" w:id="0">
    <w:p w14:paraId="6DA4DADB" w14:textId="77777777" w:rsidR="00FD3D54" w:rsidRDefault="00FD3D54" w:rsidP="005D6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143C0"/>
    <w:multiLevelType w:val="hybridMultilevel"/>
    <w:tmpl w:val="A55AE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F94BF7"/>
    <w:multiLevelType w:val="hybridMultilevel"/>
    <w:tmpl w:val="D6A2BC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7085385">
    <w:abstractNumId w:val="0"/>
  </w:num>
  <w:num w:numId="2" w16cid:durableId="136505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BE"/>
    <w:rsid w:val="000147DC"/>
    <w:rsid w:val="00066570"/>
    <w:rsid w:val="000B7FA2"/>
    <w:rsid w:val="000C302E"/>
    <w:rsid w:val="000D6063"/>
    <w:rsid w:val="000F70EF"/>
    <w:rsid w:val="00126B55"/>
    <w:rsid w:val="00162788"/>
    <w:rsid w:val="0018299A"/>
    <w:rsid w:val="00194A9F"/>
    <w:rsid w:val="00196160"/>
    <w:rsid w:val="001D4612"/>
    <w:rsid w:val="001E0A60"/>
    <w:rsid w:val="001F66B0"/>
    <w:rsid w:val="00202A95"/>
    <w:rsid w:val="0020313E"/>
    <w:rsid w:val="002075C2"/>
    <w:rsid w:val="00241EBE"/>
    <w:rsid w:val="00250F95"/>
    <w:rsid w:val="00266D3A"/>
    <w:rsid w:val="002A0531"/>
    <w:rsid w:val="002C4907"/>
    <w:rsid w:val="002E6662"/>
    <w:rsid w:val="003059A2"/>
    <w:rsid w:val="00356C1D"/>
    <w:rsid w:val="00387064"/>
    <w:rsid w:val="003906B3"/>
    <w:rsid w:val="00392F96"/>
    <w:rsid w:val="003C059C"/>
    <w:rsid w:val="003C50D5"/>
    <w:rsid w:val="003E4949"/>
    <w:rsid w:val="003E7B59"/>
    <w:rsid w:val="00400AB4"/>
    <w:rsid w:val="00405F05"/>
    <w:rsid w:val="004108AA"/>
    <w:rsid w:val="00413483"/>
    <w:rsid w:val="00433A14"/>
    <w:rsid w:val="004805E7"/>
    <w:rsid w:val="004864FA"/>
    <w:rsid w:val="004A2405"/>
    <w:rsid w:val="004B63DA"/>
    <w:rsid w:val="004C0E73"/>
    <w:rsid w:val="004E0716"/>
    <w:rsid w:val="004E0DA6"/>
    <w:rsid w:val="004E4DDF"/>
    <w:rsid w:val="004F060C"/>
    <w:rsid w:val="004F2A0A"/>
    <w:rsid w:val="004F6774"/>
    <w:rsid w:val="00507F49"/>
    <w:rsid w:val="00521C21"/>
    <w:rsid w:val="00527AE5"/>
    <w:rsid w:val="00532E9D"/>
    <w:rsid w:val="005633CF"/>
    <w:rsid w:val="005B7CA1"/>
    <w:rsid w:val="005D2CCF"/>
    <w:rsid w:val="005D42BA"/>
    <w:rsid w:val="005D622A"/>
    <w:rsid w:val="005E3A1D"/>
    <w:rsid w:val="005E3DC1"/>
    <w:rsid w:val="005F40ED"/>
    <w:rsid w:val="006012D9"/>
    <w:rsid w:val="00601EF6"/>
    <w:rsid w:val="00690850"/>
    <w:rsid w:val="00714DA3"/>
    <w:rsid w:val="00727C20"/>
    <w:rsid w:val="00781DB9"/>
    <w:rsid w:val="00790B33"/>
    <w:rsid w:val="007A3E40"/>
    <w:rsid w:val="007B0CF2"/>
    <w:rsid w:val="007B31F3"/>
    <w:rsid w:val="007D173E"/>
    <w:rsid w:val="007D47EE"/>
    <w:rsid w:val="00813377"/>
    <w:rsid w:val="00816FD0"/>
    <w:rsid w:val="008229BD"/>
    <w:rsid w:val="00834056"/>
    <w:rsid w:val="0086224E"/>
    <w:rsid w:val="008B15F0"/>
    <w:rsid w:val="008C1A7D"/>
    <w:rsid w:val="008D0BEF"/>
    <w:rsid w:val="008D1B5C"/>
    <w:rsid w:val="008D21DC"/>
    <w:rsid w:val="008E5919"/>
    <w:rsid w:val="008F5FC0"/>
    <w:rsid w:val="00920CC2"/>
    <w:rsid w:val="009249E7"/>
    <w:rsid w:val="00927B49"/>
    <w:rsid w:val="00930103"/>
    <w:rsid w:val="00931B5E"/>
    <w:rsid w:val="00966E29"/>
    <w:rsid w:val="0097575A"/>
    <w:rsid w:val="00976A3F"/>
    <w:rsid w:val="00980E4A"/>
    <w:rsid w:val="0098775B"/>
    <w:rsid w:val="009961CA"/>
    <w:rsid w:val="009B2C2B"/>
    <w:rsid w:val="009E5CEA"/>
    <w:rsid w:val="009F62A9"/>
    <w:rsid w:val="00A014CE"/>
    <w:rsid w:val="00A20379"/>
    <w:rsid w:val="00A56548"/>
    <w:rsid w:val="00A62A30"/>
    <w:rsid w:val="00A95379"/>
    <w:rsid w:val="00A95C60"/>
    <w:rsid w:val="00AC72C1"/>
    <w:rsid w:val="00AE2AAA"/>
    <w:rsid w:val="00AF1654"/>
    <w:rsid w:val="00B26DD9"/>
    <w:rsid w:val="00B3033F"/>
    <w:rsid w:val="00B66C04"/>
    <w:rsid w:val="00B73966"/>
    <w:rsid w:val="00B82595"/>
    <w:rsid w:val="00BE53E9"/>
    <w:rsid w:val="00BE6230"/>
    <w:rsid w:val="00C012CF"/>
    <w:rsid w:val="00C16E7F"/>
    <w:rsid w:val="00C3079C"/>
    <w:rsid w:val="00C31121"/>
    <w:rsid w:val="00C70BC5"/>
    <w:rsid w:val="00C87A50"/>
    <w:rsid w:val="00D0065C"/>
    <w:rsid w:val="00D0198A"/>
    <w:rsid w:val="00D6554E"/>
    <w:rsid w:val="00D97559"/>
    <w:rsid w:val="00DF3EEF"/>
    <w:rsid w:val="00E06662"/>
    <w:rsid w:val="00E156B7"/>
    <w:rsid w:val="00E15BEE"/>
    <w:rsid w:val="00E23643"/>
    <w:rsid w:val="00E27A90"/>
    <w:rsid w:val="00E45B42"/>
    <w:rsid w:val="00E73846"/>
    <w:rsid w:val="00EC05CE"/>
    <w:rsid w:val="00EE6112"/>
    <w:rsid w:val="00EF54DB"/>
    <w:rsid w:val="00F3316F"/>
    <w:rsid w:val="00F539E5"/>
    <w:rsid w:val="00F56835"/>
    <w:rsid w:val="00F65A19"/>
    <w:rsid w:val="00F717F9"/>
    <w:rsid w:val="00FD143E"/>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57E5"/>
  <w15:chartTrackingRefBased/>
  <w15:docId w15:val="{19B57063-87B4-4616-BA79-2836B5E2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F9"/>
    <w:pPr>
      <w:jc w:val="both"/>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612"/>
    <w:pPr>
      <w:ind w:left="720"/>
      <w:contextualSpacing/>
    </w:pPr>
  </w:style>
  <w:style w:type="paragraph" w:styleId="Header">
    <w:name w:val="header"/>
    <w:basedOn w:val="Normal"/>
    <w:link w:val="HeaderChar"/>
    <w:uiPriority w:val="99"/>
    <w:unhideWhenUsed/>
    <w:rsid w:val="005D6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22A"/>
    <w:rPr>
      <w:rFonts w:ascii="Times New Roman" w:hAnsi="Times New Roman"/>
      <w:kern w:val="0"/>
      <w:sz w:val="24"/>
      <w14:ligatures w14:val="none"/>
    </w:rPr>
  </w:style>
  <w:style w:type="paragraph" w:styleId="Footer">
    <w:name w:val="footer"/>
    <w:basedOn w:val="Normal"/>
    <w:link w:val="FooterChar"/>
    <w:uiPriority w:val="99"/>
    <w:unhideWhenUsed/>
    <w:rsid w:val="005D6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22A"/>
    <w:rPr>
      <w:rFonts w:ascii="Times New Roman" w:hAnsi="Times New Roman"/>
      <w:kern w:val="0"/>
      <w:sz w:val="24"/>
      <w14:ligatures w14:val="none"/>
    </w:rPr>
  </w:style>
  <w:style w:type="character" w:styleId="Hyperlink">
    <w:name w:val="Hyperlink"/>
    <w:basedOn w:val="DefaultParagraphFont"/>
    <w:uiPriority w:val="99"/>
    <w:semiHidden/>
    <w:unhideWhenUsed/>
    <w:rsid w:val="005B7CA1"/>
    <w:rPr>
      <w:color w:val="0000FF"/>
      <w:u w:val="single"/>
    </w:rPr>
  </w:style>
  <w:style w:type="paragraph" w:customStyle="1" w:styleId="Default">
    <w:name w:val="Default"/>
    <w:rsid w:val="008D0BE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r.coe.int/Documents/Rules_Court_ENG.pdf" TargetMode="External"/><Relationship Id="rId13" Type="http://schemas.openxmlformats.org/officeDocument/2006/relationships/hyperlink" Target="https://echr.coe.int/Documents/PD_electronic_filing_applicants_ENG.pdf" TargetMode="External"/><Relationship Id="rId18" Type="http://schemas.openxmlformats.org/officeDocument/2006/relationships/hyperlink" Target="https://echr.coe.int/Documents/Interim_Measures_ENG.pdf" TargetMode="External"/><Relationship Id="rId26" Type="http://schemas.openxmlformats.org/officeDocument/2006/relationships/hyperlink" Target="https://hudoc.echr.coe.int/eng" TargetMode="External"/><Relationship Id="rId3" Type="http://schemas.openxmlformats.org/officeDocument/2006/relationships/settings" Target="settings.xml"/><Relationship Id="rId21" Type="http://schemas.openxmlformats.org/officeDocument/2006/relationships/hyperlink" Target="https://echr.coe.int/Documents/Stats_analysis_2022_ENG.pdf" TargetMode="External"/><Relationship Id="rId7" Type="http://schemas.openxmlformats.org/officeDocument/2006/relationships/hyperlink" Target="https://echr.coe.int/Pages/home.aspx?p=basictexts&amp;c=" TargetMode="External"/><Relationship Id="rId12" Type="http://schemas.openxmlformats.org/officeDocument/2006/relationships/hyperlink" Target="https://echr.coe.int/Documents/PD_satisfaction_claims_ENG.pdf" TargetMode="External"/><Relationship Id="rId17" Type="http://schemas.openxmlformats.org/officeDocument/2006/relationships/hyperlink" Target="https://echr.coe.int/Documents/PD_interim_measures_intro_ENG.pdf" TargetMode="External"/><Relationship Id="rId25"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echr.coe.int/Documents/Q_A_Lawyers_Guide_ECHR_ENG.pdf" TargetMode="External"/><Relationship Id="rId20" Type="http://schemas.openxmlformats.org/officeDocument/2006/relationships/hyperlink" Target="https://echr.coe.int/Documents/Case_processing_Court_ENG.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hr.coe.int/Documents/PD_interim_measures_ENG.pdf" TargetMode="External"/><Relationship Id="rId24" Type="http://schemas.openxmlformats.org/officeDocument/2006/relationships/hyperlink" Target="https://echr.coe.int/Documents/Guidelines_pleadings_communication_ENG.pdf" TargetMode="External"/><Relationship Id="rId5" Type="http://schemas.openxmlformats.org/officeDocument/2006/relationships/footnotes" Target="footnotes.xml"/><Relationship Id="rId15" Type="http://schemas.openxmlformats.org/officeDocument/2006/relationships/hyperlink" Target="https://echr.coe.int/Pages/home.aspx?p=applicants/application" TargetMode="External"/><Relationship Id="rId23" Type="http://schemas.openxmlformats.org/officeDocument/2006/relationships/hyperlink" Target="https://echr.coe.int/Documents/PD_Third_Party_intervention_ENG.pdf" TargetMode="External"/><Relationship Id="rId28" Type="http://schemas.openxmlformats.org/officeDocument/2006/relationships/fontTable" Target="fontTable.xml"/><Relationship Id="rId10" Type="http://schemas.openxmlformats.org/officeDocument/2006/relationships/hyperlink" Target="https://echr.coe.int/Documents/PD_written_pleadings_ENG.pdf" TargetMode="External"/><Relationship Id="rId19" Type="http://schemas.openxmlformats.org/officeDocument/2006/relationships/hyperlink" Target="file:///C:\Users\pgardner\Downloads\Application_Form_ENG%20(7).pdf" TargetMode="External"/><Relationship Id="rId4" Type="http://schemas.openxmlformats.org/officeDocument/2006/relationships/webSettings" Target="webSettings.xml"/><Relationship Id="rId9" Type="http://schemas.openxmlformats.org/officeDocument/2006/relationships/hyperlink" Target="https://echr.coe.int/Documents/PD_institution_proceedings_ENG.pdf" TargetMode="External"/><Relationship Id="rId14" Type="http://schemas.openxmlformats.org/officeDocument/2006/relationships/hyperlink" Target="https://echr.coe.int/Documents/Your_Application_ENG.pdf" TargetMode="External"/><Relationship Id="rId22" Type="http://schemas.openxmlformats.org/officeDocument/2006/relationships/hyperlink" Target="https://echr.coe.int/Documents/Stats_analysis_2022_ENG.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 Gardner</dc:creator>
  <cp:keywords/>
  <dc:description/>
  <cp:lastModifiedBy>Piers Gardner</cp:lastModifiedBy>
  <cp:revision>2</cp:revision>
  <dcterms:created xsi:type="dcterms:W3CDTF">2023-06-26T06:08:00Z</dcterms:created>
  <dcterms:modified xsi:type="dcterms:W3CDTF">2023-06-26T06:08:00Z</dcterms:modified>
</cp:coreProperties>
</file>