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66C6" w14:textId="1D47A718" w:rsidR="009A5CA0" w:rsidRPr="009A5CA0" w:rsidRDefault="009A5CA0" w:rsidP="009A5CA0">
      <w:pPr>
        <w:ind w:left="720" w:hanging="36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A5CA0">
        <w:rPr>
          <w:rFonts w:asciiTheme="majorHAnsi" w:hAnsiTheme="majorHAnsi" w:cstheme="maj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5409C48" wp14:editId="60E215D7">
            <wp:simplePos x="0" y="0"/>
            <wp:positionH relativeFrom="margin">
              <wp:align>left</wp:align>
            </wp:positionH>
            <wp:positionV relativeFrom="paragraph">
              <wp:posOffset>-626745</wp:posOffset>
            </wp:positionV>
            <wp:extent cx="900000" cy="900000"/>
            <wp:effectExtent l="0" t="0" r="0" b="0"/>
            <wp:wrapNone/>
            <wp:docPr id="15" name="HL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_Colour_200dpi_25m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CA0">
        <w:rPr>
          <w:rFonts w:asciiTheme="majorHAnsi" w:hAnsiTheme="majorHAnsi" w:cstheme="majorHAnsi"/>
          <w:b/>
          <w:bCs/>
          <w:sz w:val="24"/>
          <w:szCs w:val="24"/>
        </w:rPr>
        <w:t>Public Law Project: Advanced Judicial Review</w:t>
      </w:r>
    </w:p>
    <w:p w14:paraId="74E91FA7" w14:textId="3C1B1B70" w:rsidR="009A5CA0" w:rsidRPr="009A5CA0" w:rsidRDefault="009A5CA0" w:rsidP="009A5CA0">
      <w:pPr>
        <w:ind w:left="720" w:hanging="36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A5CA0">
        <w:rPr>
          <w:rFonts w:asciiTheme="majorHAnsi" w:hAnsiTheme="majorHAnsi" w:cstheme="majorHAnsi"/>
          <w:b/>
          <w:bCs/>
          <w:sz w:val="24"/>
          <w:szCs w:val="24"/>
        </w:rPr>
        <w:t>Applications to the European Court of Human Rights</w:t>
      </w:r>
    </w:p>
    <w:p w14:paraId="76F869BB" w14:textId="039E503A" w:rsidR="009A5CA0" w:rsidRPr="009A5CA0" w:rsidRDefault="009A5CA0" w:rsidP="009A5CA0">
      <w:pPr>
        <w:ind w:left="720" w:hanging="36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A5CA0">
        <w:rPr>
          <w:rFonts w:asciiTheme="majorHAnsi" w:hAnsiTheme="majorHAnsi" w:cstheme="majorHAnsi"/>
          <w:b/>
          <w:bCs/>
          <w:sz w:val="24"/>
          <w:szCs w:val="24"/>
        </w:rPr>
        <w:t xml:space="preserve">The UK and the </w:t>
      </w:r>
      <w:r w:rsidR="002C51DD">
        <w:rPr>
          <w:rFonts w:asciiTheme="majorHAnsi" w:hAnsiTheme="majorHAnsi" w:cstheme="majorHAnsi"/>
          <w:b/>
          <w:bCs/>
          <w:sz w:val="24"/>
          <w:szCs w:val="24"/>
        </w:rPr>
        <w:t xml:space="preserve">European </w:t>
      </w:r>
      <w:r w:rsidRPr="009A5CA0">
        <w:rPr>
          <w:rFonts w:asciiTheme="majorHAnsi" w:hAnsiTheme="majorHAnsi" w:cstheme="majorHAnsi"/>
          <w:b/>
          <w:bCs/>
          <w:sz w:val="24"/>
          <w:szCs w:val="24"/>
        </w:rPr>
        <w:t>Convention</w:t>
      </w:r>
      <w:r w:rsidR="002C51DD">
        <w:rPr>
          <w:rFonts w:asciiTheme="majorHAnsi" w:hAnsiTheme="majorHAnsi" w:cstheme="majorHAnsi"/>
          <w:b/>
          <w:bCs/>
          <w:sz w:val="24"/>
          <w:szCs w:val="24"/>
        </w:rPr>
        <w:t xml:space="preserve"> on Human Rights</w:t>
      </w:r>
    </w:p>
    <w:p w14:paraId="2067B3BA" w14:textId="319431CF" w:rsidR="009A5CA0" w:rsidRPr="009A5CA0" w:rsidRDefault="009A5CA0" w:rsidP="009A5CA0">
      <w:pPr>
        <w:ind w:left="720" w:hanging="360"/>
        <w:jc w:val="left"/>
        <w:rPr>
          <w:rFonts w:asciiTheme="majorHAnsi" w:hAnsiTheme="majorHAnsi" w:cstheme="majorHAnsi"/>
          <w:sz w:val="24"/>
          <w:szCs w:val="24"/>
        </w:rPr>
      </w:pPr>
    </w:p>
    <w:p w14:paraId="300EA94B" w14:textId="16E4E2BD" w:rsidR="009A5CA0" w:rsidRPr="009A5CA0" w:rsidRDefault="009A5CA0" w:rsidP="009A5CA0">
      <w:pPr>
        <w:pStyle w:val="Level1"/>
      </w:pPr>
      <w:r w:rsidRPr="009A5CA0">
        <w:rPr>
          <w:rFonts w:asciiTheme="majorHAnsi" w:hAnsiTheme="majorHAnsi" w:cstheme="majorHAnsi"/>
          <w:b/>
          <w:bCs/>
          <w:sz w:val="24"/>
          <w:szCs w:val="24"/>
        </w:rPr>
        <w:t>Useful resources</w:t>
      </w:r>
    </w:p>
    <w:p w14:paraId="622AE431" w14:textId="1A7ECE07" w:rsidR="00A74F95" w:rsidRDefault="00A74F95" w:rsidP="009A5CA0">
      <w:pPr>
        <w:pStyle w:val="Body1"/>
        <w:numPr>
          <w:ilvl w:val="0"/>
          <w:numId w:val="26"/>
        </w:numPr>
        <w:jc w:val="left"/>
        <w:rPr>
          <w:rFonts w:asciiTheme="minorHAnsi" w:hAnsiTheme="minorHAnsi" w:cstheme="majorHAnsi"/>
          <w:sz w:val="22"/>
          <w:szCs w:val="22"/>
        </w:rPr>
      </w:pPr>
      <w:hyperlink r:id="rId10" w:history="1">
        <w:r w:rsidRPr="00A74F95">
          <w:rPr>
            <w:rStyle w:val="Hyperlink"/>
            <w:rFonts w:asciiTheme="minorHAnsi" w:hAnsiTheme="minorHAnsi" w:cstheme="majorHAnsi"/>
            <w:sz w:val="22"/>
            <w:szCs w:val="22"/>
          </w:rPr>
          <w:t>Rights brought home: The Human Rights Bill</w:t>
        </w:r>
      </w:hyperlink>
    </w:p>
    <w:p w14:paraId="3D815F8A" w14:textId="6E021D4C" w:rsidR="009A5CA0" w:rsidRPr="009A5CA0" w:rsidRDefault="009A5CA0" w:rsidP="009A5CA0">
      <w:pPr>
        <w:pStyle w:val="Body1"/>
        <w:numPr>
          <w:ilvl w:val="0"/>
          <w:numId w:val="26"/>
        </w:numPr>
        <w:jc w:val="left"/>
        <w:rPr>
          <w:rFonts w:asciiTheme="minorHAnsi" w:hAnsiTheme="minorHAnsi" w:cstheme="majorHAnsi"/>
          <w:sz w:val="22"/>
          <w:szCs w:val="22"/>
        </w:rPr>
      </w:pPr>
      <w:hyperlink r:id="rId11" w:history="1">
        <w:r w:rsidRPr="009A5CA0">
          <w:rPr>
            <w:rStyle w:val="Hyperlink"/>
            <w:rFonts w:asciiTheme="minorHAnsi" w:hAnsiTheme="minorHAnsi" w:cstheme="majorHAnsi"/>
            <w:sz w:val="22"/>
            <w:szCs w:val="22"/>
          </w:rPr>
          <w:t xml:space="preserve">The Human Rights Act 1998 </w:t>
        </w:r>
      </w:hyperlink>
      <w:r w:rsidR="00E3685B">
        <w:rPr>
          <w:rStyle w:val="Hyperlink"/>
          <w:rFonts w:asciiTheme="minorHAnsi" w:hAnsiTheme="minorHAnsi" w:cstheme="majorHAnsi"/>
          <w:sz w:val="22"/>
          <w:szCs w:val="22"/>
        </w:rPr>
        <w:t>(HRA)</w:t>
      </w:r>
    </w:p>
    <w:p w14:paraId="3056EF13" w14:textId="382C7DC3" w:rsidR="009A5CA0" w:rsidRPr="009A5CA0" w:rsidRDefault="009A5CA0" w:rsidP="009A5CA0">
      <w:pPr>
        <w:pStyle w:val="Body1"/>
        <w:numPr>
          <w:ilvl w:val="0"/>
          <w:numId w:val="26"/>
        </w:numPr>
        <w:jc w:val="left"/>
        <w:rPr>
          <w:rStyle w:val="Hyperlink"/>
          <w:rFonts w:asciiTheme="minorHAnsi" w:hAnsiTheme="minorHAnsi" w:cstheme="majorHAnsi"/>
          <w:color w:val="auto"/>
          <w:sz w:val="22"/>
          <w:szCs w:val="22"/>
          <w:u w:val="none"/>
        </w:rPr>
      </w:pPr>
      <w:hyperlink r:id="rId12" w:history="1">
        <w:r w:rsidRPr="009A5CA0">
          <w:rPr>
            <w:rStyle w:val="Hyperlink"/>
            <w:rFonts w:asciiTheme="minorHAnsi" w:hAnsiTheme="minorHAnsi" w:cstheme="majorHAnsi"/>
            <w:sz w:val="22"/>
            <w:szCs w:val="22"/>
          </w:rPr>
          <w:t>House of Commons Library paper on the Reform of the H</w:t>
        </w:r>
      </w:hyperlink>
      <w:r w:rsidR="00E3685B">
        <w:rPr>
          <w:rStyle w:val="Hyperlink"/>
          <w:rFonts w:asciiTheme="minorHAnsi" w:hAnsiTheme="minorHAnsi" w:cstheme="majorHAnsi"/>
          <w:sz w:val="22"/>
          <w:szCs w:val="22"/>
        </w:rPr>
        <w:t xml:space="preserve">RA </w:t>
      </w:r>
    </w:p>
    <w:p w14:paraId="7770AF1E" w14:textId="6584EF45" w:rsidR="00E3685B" w:rsidRDefault="00E3685B" w:rsidP="009A5CA0">
      <w:pPr>
        <w:pStyle w:val="Body1"/>
        <w:numPr>
          <w:ilvl w:val="0"/>
          <w:numId w:val="26"/>
        </w:numPr>
        <w:jc w:val="left"/>
        <w:rPr>
          <w:rFonts w:asciiTheme="minorHAnsi" w:hAnsiTheme="minorHAnsi" w:cstheme="majorHAnsi"/>
          <w:sz w:val="22"/>
          <w:szCs w:val="22"/>
        </w:rPr>
      </w:pPr>
      <w:hyperlink r:id="rId13" w:history="1">
        <w:r w:rsidRPr="00E3685B">
          <w:rPr>
            <w:rStyle w:val="Hyperlink"/>
            <w:rFonts w:asciiTheme="minorHAnsi" w:hAnsiTheme="minorHAnsi" w:cstheme="majorHAnsi"/>
            <w:sz w:val="22"/>
            <w:szCs w:val="22"/>
          </w:rPr>
          <w:t>Joint Committee on Human Rights Report on HRA reform</w:t>
        </w:r>
      </w:hyperlink>
    </w:p>
    <w:p w14:paraId="37DC1CDB" w14:textId="113CCA8A" w:rsidR="00A74F95" w:rsidRPr="009A5CA0" w:rsidRDefault="00A74F95" w:rsidP="009A5CA0">
      <w:pPr>
        <w:pStyle w:val="Body1"/>
        <w:numPr>
          <w:ilvl w:val="0"/>
          <w:numId w:val="26"/>
        </w:numPr>
        <w:jc w:val="left"/>
        <w:rPr>
          <w:rFonts w:asciiTheme="minorHAnsi" w:hAnsiTheme="minorHAnsi" w:cstheme="majorHAnsi"/>
          <w:sz w:val="22"/>
          <w:szCs w:val="22"/>
        </w:rPr>
      </w:pPr>
      <w:hyperlink r:id="rId14" w:history="1">
        <w:r w:rsidRPr="00A74F95">
          <w:rPr>
            <w:rStyle w:val="Hyperlink"/>
            <w:rFonts w:asciiTheme="minorHAnsi" w:hAnsiTheme="minorHAnsi" w:cstheme="majorHAnsi"/>
            <w:sz w:val="22"/>
            <w:szCs w:val="22"/>
          </w:rPr>
          <w:t>Statistics of the European Court of Human Rights</w:t>
        </w:r>
      </w:hyperlink>
    </w:p>
    <w:p w14:paraId="6D2EE522" w14:textId="656AEAA2" w:rsidR="009A5CA0" w:rsidRPr="002C51DD" w:rsidRDefault="002C51DD" w:rsidP="009A5CA0">
      <w:pPr>
        <w:pStyle w:val="Level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Statistics on applications to the ECtHR</w:t>
      </w:r>
    </w:p>
    <w:p w14:paraId="1E000D22" w14:textId="5DF9D4C0" w:rsidR="007D1526" w:rsidRDefault="00305386" w:rsidP="002C51DD">
      <w:pPr>
        <w:pStyle w:val="ListParagraph"/>
        <w:numPr>
          <w:ilvl w:val="0"/>
          <w:numId w:val="27"/>
        </w:numPr>
        <w:rPr>
          <w:rFonts w:asciiTheme="minorHAnsi" w:hAnsiTheme="minorHAnsi" w:cstheme="majorHAnsi"/>
          <w:sz w:val="22"/>
          <w:szCs w:val="22"/>
        </w:rPr>
      </w:pPr>
      <w:r w:rsidRPr="002C51DD">
        <w:rPr>
          <w:rFonts w:asciiTheme="minorHAnsi" w:hAnsiTheme="minorHAnsi" w:cstheme="majorHAnsi"/>
          <w:sz w:val="22"/>
          <w:szCs w:val="22"/>
        </w:rPr>
        <w:t>Overall, the number of applications made by the United Kingdom</w:t>
      </w:r>
      <w:r w:rsidR="000836BA" w:rsidRPr="002C51DD">
        <w:rPr>
          <w:rFonts w:asciiTheme="minorHAnsi" w:hAnsiTheme="minorHAnsi" w:cstheme="majorHAnsi"/>
          <w:sz w:val="22"/>
          <w:szCs w:val="22"/>
        </w:rPr>
        <w:t xml:space="preserve"> (UK)</w:t>
      </w:r>
      <w:r w:rsidRPr="002C51DD">
        <w:rPr>
          <w:rFonts w:asciiTheme="minorHAnsi" w:hAnsiTheme="minorHAnsi" w:cstheme="majorHAnsi"/>
          <w:sz w:val="22"/>
          <w:szCs w:val="22"/>
        </w:rPr>
        <w:t xml:space="preserve"> to the European Court of Human Rights (ECtHR) </w:t>
      </w:r>
      <w:r w:rsidR="001872F8" w:rsidRPr="002C51DD">
        <w:rPr>
          <w:rFonts w:asciiTheme="minorHAnsi" w:hAnsiTheme="minorHAnsi" w:cstheme="majorHAnsi"/>
          <w:sz w:val="22"/>
          <w:szCs w:val="22"/>
        </w:rPr>
        <w:t>per head of population are the lowest in the Council of Europe</w:t>
      </w:r>
      <w:r w:rsidR="002C51DD">
        <w:rPr>
          <w:rFonts w:asciiTheme="minorHAnsi" w:hAnsiTheme="minorHAnsi" w:cstheme="majorHAnsi"/>
          <w:sz w:val="22"/>
          <w:szCs w:val="22"/>
        </w:rPr>
        <w:t xml:space="preserve"> and have been since 2017</w:t>
      </w:r>
      <w:r w:rsidR="001872F8" w:rsidRPr="002C51DD">
        <w:rPr>
          <w:rFonts w:asciiTheme="minorHAnsi" w:hAnsiTheme="minorHAnsi" w:cstheme="majorHAnsi"/>
          <w:sz w:val="22"/>
          <w:szCs w:val="22"/>
        </w:rPr>
        <w:t xml:space="preserve">. They are lower than the other G7 countries: </w:t>
      </w:r>
      <w:r w:rsidRPr="002C51DD">
        <w:rPr>
          <w:rFonts w:asciiTheme="minorHAnsi" w:hAnsiTheme="minorHAnsi" w:cstheme="majorHAnsi"/>
          <w:sz w:val="22"/>
          <w:szCs w:val="22"/>
        </w:rPr>
        <w:t>Italy, France, and Germany, and significantly lower than repeat violators like the Russian Federation</w:t>
      </w:r>
      <w:r w:rsidR="00B173AC">
        <w:rPr>
          <w:rFonts w:asciiTheme="minorHAnsi" w:hAnsiTheme="minorHAnsi" w:cstheme="majorHAnsi"/>
          <w:sz w:val="22"/>
          <w:szCs w:val="22"/>
        </w:rPr>
        <w:t xml:space="preserve"> (no longer a member of the Council of Europe)</w:t>
      </w:r>
      <w:r w:rsidRPr="002C51DD">
        <w:rPr>
          <w:rFonts w:asciiTheme="minorHAnsi" w:hAnsiTheme="minorHAnsi" w:cstheme="majorHAnsi"/>
          <w:sz w:val="22"/>
          <w:szCs w:val="22"/>
        </w:rPr>
        <w:t>, T</w:t>
      </w:r>
      <w:r w:rsidR="001872F8" w:rsidRPr="002C51DD">
        <w:rPr>
          <w:rFonts w:asciiTheme="minorHAnsi" w:hAnsiTheme="minorHAnsi" w:cstheme="majorHAnsi"/>
          <w:sz w:val="22"/>
          <w:szCs w:val="22"/>
        </w:rPr>
        <w:t>ü</w:t>
      </w:r>
      <w:r w:rsidR="001872F8" w:rsidRPr="002C51DD">
        <w:rPr>
          <w:rFonts w:asciiTheme="minorHAnsi" w:hAnsiTheme="minorHAnsi" w:cstheme="majorHAnsi"/>
          <w:sz w:val="22"/>
          <w:szCs w:val="22"/>
        </w:rPr>
        <w:t>rkiye</w:t>
      </w:r>
      <w:r w:rsidRPr="002C51DD">
        <w:rPr>
          <w:rFonts w:asciiTheme="minorHAnsi" w:hAnsiTheme="minorHAnsi" w:cstheme="majorHAnsi"/>
          <w:sz w:val="22"/>
          <w:szCs w:val="22"/>
        </w:rPr>
        <w:t xml:space="preserve">, Ukraine, and Romania. </w:t>
      </w:r>
      <w:r w:rsidR="002C51DD">
        <w:rPr>
          <w:rFonts w:asciiTheme="minorHAnsi" w:hAnsiTheme="minorHAnsi" w:cstheme="majorHAnsi"/>
          <w:sz w:val="22"/>
          <w:szCs w:val="22"/>
        </w:rPr>
        <w:t xml:space="preserve">Detailed statistics are set out below. </w:t>
      </w:r>
    </w:p>
    <w:p w14:paraId="1AD35243" w14:textId="77777777" w:rsidR="002C51DD" w:rsidRPr="002C51DD" w:rsidRDefault="002C51DD" w:rsidP="002C51DD">
      <w:pPr>
        <w:pStyle w:val="ListParagraph"/>
        <w:rPr>
          <w:rFonts w:asciiTheme="minorHAnsi" w:hAnsiTheme="minorHAnsi" w:cstheme="majorHAnsi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39"/>
        <w:gridCol w:w="2398"/>
        <w:gridCol w:w="1980"/>
        <w:gridCol w:w="2350"/>
      </w:tblGrid>
      <w:tr w:rsidR="00513230" w:rsidRPr="002C51DD" w14:paraId="02A59D62" w14:textId="5255731B" w:rsidTr="00A74F95">
        <w:tc>
          <w:tcPr>
            <w:tcW w:w="2339" w:type="dxa"/>
          </w:tcPr>
          <w:p w14:paraId="030485CE" w14:textId="6BAD9C5E" w:rsidR="00513230" w:rsidRPr="002C51DD" w:rsidRDefault="00513230" w:rsidP="00513230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C51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398" w:type="dxa"/>
          </w:tcPr>
          <w:p w14:paraId="5F8DE901" w14:textId="77777777" w:rsidR="00513230" w:rsidRPr="002C51DD" w:rsidRDefault="00513230" w:rsidP="00513230">
            <w:pPr>
              <w:pStyle w:val="Body1"/>
              <w:rPr>
                <w:rFonts w:asciiTheme="majorHAnsi" w:hAnsiTheme="majorHAnsi" w:cstheme="majorHAnsi"/>
                <w:sz w:val="24"/>
                <w:szCs w:val="24"/>
              </w:rPr>
            </w:pPr>
            <w:r w:rsidRPr="002C51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Applications allocated to a judicial formation</w:t>
            </w:r>
            <w:r w:rsidRPr="002C51DD">
              <w:rPr>
                <w:rStyle w:val="FootnoteReference"/>
                <w:rFonts w:asciiTheme="majorHAnsi" w:hAnsiTheme="majorHAnsi" w:cstheme="majorHAnsi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65B26EB9" w14:textId="2E507E29" w:rsidR="00513230" w:rsidRDefault="00513230" w:rsidP="00513230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Allocated applications per 10,000 people </w:t>
            </w:r>
          </w:p>
        </w:tc>
        <w:tc>
          <w:tcPr>
            <w:tcW w:w="2350" w:type="dxa"/>
          </w:tcPr>
          <w:p w14:paraId="6123E3E6" w14:textId="0E87E212" w:rsidR="00513230" w:rsidRDefault="00513230" w:rsidP="00513230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C51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Judgments finding at least one violation</w:t>
            </w:r>
          </w:p>
        </w:tc>
      </w:tr>
      <w:tr w:rsidR="00513230" w:rsidRPr="002C51DD" w14:paraId="226D0561" w14:textId="7E22017C" w:rsidTr="00A74F95">
        <w:tc>
          <w:tcPr>
            <w:tcW w:w="2339" w:type="dxa"/>
          </w:tcPr>
          <w:p w14:paraId="269373DF" w14:textId="7777777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UK</w:t>
            </w:r>
          </w:p>
        </w:tc>
        <w:tc>
          <w:tcPr>
            <w:tcW w:w="2398" w:type="dxa"/>
          </w:tcPr>
          <w:p w14:paraId="01D0FF7E" w14:textId="478DD07F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240</w:t>
            </w:r>
          </w:p>
        </w:tc>
        <w:tc>
          <w:tcPr>
            <w:tcW w:w="1980" w:type="dxa"/>
          </w:tcPr>
          <w:p w14:paraId="285BFB76" w14:textId="41AEC501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0.04</w:t>
            </w:r>
          </w:p>
        </w:tc>
        <w:tc>
          <w:tcPr>
            <w:tcW w:w="2350" w:type="dxa"/>
          </w:tcPr>
          <w:p w14:paraId="26552B7B" w14:textId="0DF890E1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2</w:t>
            </w:r>
          </w:p>
        </w:tc>
      </w:tr>
      <w:tr w:rsidR="00513230" w:rsidRPr="002C51DD" w14:paraId="05E6E194" w14:textId="085110AC" w:rsidTr="00A74F95">
        <w:tc>
          <w:tcPr>
            <w:tcW w:w="2339" w:type="dxa"/>
          </w:tcPr>
          <w:p w14:paraId="4B7428D6" w14:textId="7777777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 xml:space="preserve">Italy </w:t>
            </w:r>
          </w:p>
        </w:tc>
        <w:tc>
          <w:tcPr>
            <w:tcW w:w="2398" w:type="dxa"/>
          </w:tcPr>
          <w:p w14:paraId="424F8856" w14:textId="0A38D559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1,931</w:t>
            </w:r>
          </w:p>
        </w:tc>
        <w:tc>
          <w:tcPr>
            <w:tcW w:w="1980" w:type="dxa"/>
          </w:tcPr>
          <w:p w14:paraId="55E326E1" w14:textId="40019AFB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0.35</w:t>
            </w:r>
          </w:p>
        </w:tc>
        <w:tc>
          <w:tcPr>
            <w:tcW w:w="2350" w:type="dxa"/>
          </w:tcPr>
          <w:p w14:paraId="253F7A38" w14:textId="13DAAE08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25</w:t>
            </w:r>
          </w:p>
        </w:tc>
      </w:tr>
      <w:tr w:rsidR="00513230" w:rsidRPr="002C51DD" w14:paraId="497D83BF" w14:textId="7FF5E442" w:rsidTr="00A74F95">
        <w:tc>
          <w:tcPr>
            <w:tcW w:w="2339" w:type="dxa"/>
          </w:tcPr>
          <w:p w14:paraId="0568ADAF" w14:textId="7777777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France</w:t>
            </w:r>
          </w:p>
        </w:tc>
        <w:tc>
          <w:tcPr>
            <w:tcW w:w="2398" w:type="dxa"/>
          </w:tcPr>
          <w:p w14:paraId="1BDBB5EE" w14:textId="00951279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831</w:t>
            </w:r>
          </w:p>
        </w:tc>
        <w:tc>
          <w:tcPr>
            <w:tcW w:w="1980" w:type="dxa"/>
          </w:tcPr>
          <w:p w14:paraId="641F5E39" w14:textId="74F852A6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0.12</w:t>
            </w:r>
          </w:p>
        </w:tc>
        <w:tc>
          <w:tcPr>
            <w:tcW w:w="2350" w:type="dxa"/>
          </w:tcPr>
          <w:p w14:paraId="3A867125" w14:textId="4753156A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19</w:t>
            </w:r>
          </w:p>
        </w:tc>
      </w:tr>
      <w:tr w:rsidR="00513230" w:rsidRPr="002C51DD" w14:paraId="335ADAA2" w14:textId="74F41637" w:rsidTr="00A74F95">
        <w:tc>
          <w:tcPr>
            <w:tcW w:w="2339" w:type="dxa"/>
          </w:tcPr>
          <w:p w14:paraId="6F34213B" w14:textId="7777777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Germany</w:t>
            </w:r>
          </w:p>
        </w:tc>
        <w:tc>
          <w:tcPr>
            <w:tcW w:w="2398" w:type="dxa"/>
          </w:tcPr>
          <w:p w14:paraId="3DEBD563" w14:textId="047CC2EA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535</w:t>
            </w:r>
          </w:p>
        </w:tc>
        <w:tc>
          <w:tcPr>
            <w:tcW w:w="1980" w:type="dxa"/>
          </w:tcPr>
          <w:p w14:paraId="0B017245" w14:textId="23C39E14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0.06</w:t>
            </w:r>
          </w:p>
        </w:tc>
        <w:tc>
          <w:tcPr>
            <w:tcW w:w="2350" w:type="dxa"/>
          </w:tcPr>
          <w:p w14:paraId="2DAF1DA0" w14:textId="5969594D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1</w:t>
            </w:r>
          </w:p>
        </w:tc>
      </w:tr>
      <w:tr w:rsidR="00513230" w:rsidRPr="002C51DD" w14:paraId="4884009D" w14:textId="08AC6260" w:rsidTr="00A74F95">
        <w:tc>
          <w:tcPr>
            <w:tcW w:w="2339" w:type="dxa"/>
          </w:tcPr>
          <w:p w14:paraId="3F8246B4" w14:textId="7777777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Russian Federation</w:t>
            </w:r>
          </w:p>
        </w:tc>
        <w:tc>
          <w:tcPr>
            <w:tcW w:w="2398" w:type="dxa"/>
          </w:tcPr>
          <w:p w14:paraId="03DF36AB" w14:textId="35B1D57C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6,077</w:t>
            </w:r>
          </w:p>
        </w:tc>
        <w:tc>
          <w:tcPr>
            <w:tcW w:w="1980" w:type="dxa"/>
          </w:tcPr>
          <w:p w14:paraId="20E14ED3" w14:textId="78EFFE09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0.42</w:t>
            </w:r>
          </w:p>
        </w:tc>
        <w:tc>
          <w:tcPr>
            <w:tcW w:w="2350" w:type="dxa"/>
          </w:tcPr>
          <w:p w14:paraId="376111B3" w14:textId="3993B7FD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374</w:t>
            </w:r>
          </w:p>
        </w:tc>
      </w:tr>
      <w:tr w:rsidR="00513230" w:rsidRPr="002C51DD" w14:paraId="0ED9813B" w14:textId="2DDC3C5B" w:rsidTr="00A74F95">
        <w:tc>
          <w:tcPr>
            <w:tcW w:w="2339" w:type="dxa"/>
          </w:tcPr>
          <w:p w14:paraId="0B186D2A" w14:textId="5E767596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T</w:t>
            </w: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ü</w:t>
            </w: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rk</w:t>
            </w: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iye</w:t>
            </w:r>
          </w:p>
        </w:tc>
        <w:tc>
          <w:tcPr>
            <w:tcW w:w="2398" w:type="dxa"/>
          </w:tcPr>
          <w:p w14:paraId="4320ADD6" w14:textId="73DF2C25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12,551</w:t>
            </w:r>
          </w:p>
        </w:tc>
        <w:tc>
          <w:tcPr>
            <w:tcW w:w="1980" w:type="dxa"/>
          </w:tcPr>
          <w:p w14:paraId="6CBED303" w14:textId="0DF7AF1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1.48</w:t>
            </w:r>
          </w:p>
        </w:tc>
        <w:tc>
          <w:tcPr>
            <w:tcW w:w="2350" w:type="dxa"/>
          </w:tcPr>
          <w:p w14:paraId="2D258AE1" w14:textId="730636A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73</w:t>
            </w:r>
          </w:p>
        </w:tc>
      </w:tr>
      <w:tr w:rsidR="00513230" w:rsidRPr="002C51DD" w14:paraId="2EE0072C" w14:textId="3EE962B0" w:rsidTr="00A74F95">
        <w:tc>
          <w:tcPr>
            <w:tcW w:w="2339" w:type="dxa"/>
          </w:tcPr>
          <w:p w14:paraId="493F7E16" w14:textId="7777777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Ukraine</w:t>
            </w:r>
          </w:p>
        </w:tc>
        <w:tc>
          <w:tcPr>
            <w:tcW w:w="2398" w:type="dxa"/>
          </w:tcPr>
          <w:p w14:paraId="23D5010A" w14:textId="1989D196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1,914</w:t>
            </w:r>
          </w:p>
        </w:tc>
        <w:tc>
          <w:tcPr>
            <w:tcW w:w="1980" w:type="dxa"/>
          </w:tcPr>
          <w:p w14:paraId="1E4B8522" w14:textId="660DDCEB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0.42</w:t>
            </w:r>
          </w:p>
        </w:tc>
        <w:tc>
          <w:tcPr>
            <w:tcW w:w="2350" w:type="dxa"/>
          </w:tcPr>
          <w:p w14:paraId="7F547B75" w14:textId="506BAB63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141</w:t>
            </w:r>
          </w:p>
        </w:tc>
      </w:tr>
      <w:tr w:rsidR="00513230" w:rsidRPr="002C51DD" w14:paraId="7CD48BC1" w14:textId="188CEC98" w:rsidTr="00A74F95">
        <w:tc>
          <w:tcPr>
            <w:tcW w:w="2339" w:type="dxa"/>
          </w:tcPr>
          <w:p w14:paraId="637FE824" w14:textId="7777777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Romania</w:t>
            </w:r>
          </w:p>
        </w:tc>
        <w:tc>
          <w:tcPr>
            <w:tcW w:w="2398" w:type="dxa"/>
          </w:tcPr>
          <w:p w14:paraId="3CF9A005" w14:textId="0BC7BDF9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3,302</w:t>
            </w:r>
          </w:p>
        </w:tc>
        <w:tc>
          <w:tcPr>
            <w:tcW w:w="1980" w:type="dxa"/>
          </w:tcPr>
          <w:p w14:paraId="5DC29A56" w14:textId="16019CF5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1.73</w:t>
            </w:r>
          </w:p>
        </w:tc>
        <w:tc>
          <w:tcPr>
            <w:tcW w:w="2350" w:type="dxa"/>
          </w:tcPr>
          <w:p w14:paraId="1AC0EA6F" w14:textId="4D9AE595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72</w:t>
            </w:r>
          </w:p>
        </w:tc>
      </w:tr>
      <w:tr w:rsidR="00513230" w:rsidRPr="002C51DD" w14:paraId="70B89B98" w14:textId="1F8F61C5" w:rsidTr="00A74F95">
        <w:tc>
          <w:tcPr>
            <w:tcW w:w="2339" w:type="dxa"/>
          </w:tcPr>
          <w:p w14:paraId="48D92741" w14:textId="080CF7D9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TOTAL for all states</w:t>
            </w:r>
          </w:p>
        </w:tc>
        <w:tc>
          <w:tcPr>
            <w:tcW w:w="2398" w:type="dxa"/>
          </w:tcPr>
          <w:p w14:paraId="4DC3CAEB" w14:textId="495D014B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45,528</w:t>
            </w:r>
          </w:p>
        </w:tc>
        <w:tc>
          <w:tcPr>
            <w:tcW w:w="1980" w:type="dxa"/>
          </w:tcPr>
          <w:p w14:paraId="77AC2B00" w14:textId="78AE6B1C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N/A</w:t>
            </w:r>
          </w:p>
        </w:tc>
        <w:tc>
          <w:tcPr>
            <w:tcW w:w="2350" w:type="dxa"/>
          </w:tcPr>
          <w:p w14:paraId="56432745" w14:textId="4A665F31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1,059</w:t>
            </w:r>
          </w:p>
        </w:tc>
      </w:tr>
    </w:tbl>
    <w:p w14:paraId="13F5CEEB" w14:textId="722936B0" w:rsidR="00A74F95" w:rsidRDefault="00A74F95"/>
    <w:p w14:paraId="3223ED5B" w14:textId="275599CC" w:rsidR="00A74F95" w:rsidRDefault="00A74F95"/>
    <w:p w14:paraId="19F9E381" w14:textId="77777777" w:rsidR="00A74F95" w:rsidRDefault="00A74F95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39"/>
        <w:gridCol w:w="2398"/>
        <w:gridCol w:w="1980"/>
        <w:gridCol w:w="2350"/>
      </w:tblGrid>
      <w:tr w:rsidR="00513230" w:rsidRPr="002C51DD" w14:paraId="5EE5EF55" w14:textId="584DDCC6" w:rsidTr="00A74F95">
        <w:tc>
          <w:tcPr>
            <w:tcW w:w="2339" w:type="dxa"/>
          </w:tcPr>
          <w:p w14:paraId="23E95DCD" w14:textId="79C9F67A" w:rsidR="00513230" w:rsidRPr="002C51DD" w:rsidRDefault="00513230" w:rsidP="00513230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C51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398" w:type="dxa"/>
          </w:tcPr>
          <w:p w14:paraId="4AC047AE" w14:textId="4E560D81" w:rsidR="00513230" w:rsidRPr="002C51DD" w:rsidRDefault="00513230" w:rsidP="00513230">
            <w:pPr>
              <w:pStyle w:val="Body1"/>
              <w:rPr>
                <w:rFonts w:asciiTheme="majorHAnsi" w:hAnsiTheme="majorHAnsi" w:cstheme="majorHAnsi"/>
                <w:sz w:val="24"/>
                <w:szCs w:val="24"/>
              </w:rPr>
            </w:pPr>
            <w:r w:rsidRPr="002C51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Applications allocated to a judicial formation</w:t>
            </w:r>
            <w:r w:rsidRPr="002C51DD">
              <w:rPr>
                <w:rStyle w:val="FootnoteReference"/>
                <w:rFonts w:asciiTheme="majorHAnsi" w:hAnsiTheme="majorHAnsi" w:cstheme="maj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03AEE029" w14:textId="22499E0B" w:rsidR="00513230" w:rsidRPr="002C51DD" w:rsidRDefault="00513230" w:rsidP="00513230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Allocated applications per 10,000 people </w:t>
            </w:r>
          </w:p>
        </w:tc>
        <w:tc>
          <w:tcPr>
            <w:tcW w:w="2350" w:type="dxa"/>
          </w:tcPr>
          <w:p w14:paraId="4C435950" w14:textId="545EC160" w:rsidR="00513230" w:rsidRPr="002C51DD" w:rsidRDefault="00513230" w:rsidP="00513230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C51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Judgments finding at least one violation</w:t>
            </w:r>
          </w:p>
        </w:tc>
      </w:tr>
      <w:tr w:rsidR="00513230" w:rsidRPr="002C51DD" w14:paraId="7C204A96" w14:textId="3D72898B" w:rsidTr="00A74F95">
        <w:tc>
          <w:tcPr>
            <w:tcW w:w="2339" w:type="dxa"/>
          </w:tcPr>
          <w:p w14:paraId="361B6F0A" w14:textId="064D6AD0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UK</w:t>
            </w:r>
          </w:p>
        </w:tc>
        <w:tc>
          <w:tcPr>
            <w:tcW w:w="2398" w:type="dxa"/>
          </w:tcPr>
          <w:p w14:paraId="557FA055" w14:textId="1E3222DE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210</w:t>
            </w:r>
          </w:p>
        </w:tc>
        <w:tc>
          <w:tcPr>
            <w:tcW w:w="1980" w:type="dxa"/>
          </w:tcPr>
          <w:p w14:paraId="5A6420B2" w14:textId="4FBE659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0.03</w:t>
            </w:r>
          </w:p>
        </w:tc>
        <w:tc>
          <w:tcPr>
            <w:tcW w:w="2350" w:type="dxa"/>
          </w:tcPr>
          <w:p w14:paraId="25667962" w14:textId="522D7344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5</w:t>
            </w:r>
          </w:p>
        </w:tc>
      </w:tr>
      <w:tr w:rsidR="00513230" w:rsidRPr="002C51DD" w14:paraId="41B84AB1" w14:textId="77BE8422" w:rsidTr="00A74F95">
        <w:tc>
          <w:tcPr>
            <w:tcW w:w="2339" w:type="dxa"/>
          </w:tcPr>
          <w:p w14:paraId="7DDA611D" w14:textId="01BACE15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 xml:space="preserve">Italy </w:t>
            </w:r>
          </w:p>
        </w:tc>
        <w:tc>
          <w:tcPr>
            <w:tcW w:w="2398" w:type="dxa"/>
          </w:tcPr>
          <w:p w14:paraId="3DCC82DB" w14:textId="2D04D9D0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1610</w:t>
            </w:r>
          </w:p>
        </w:tc>
        <w:tc>
          <w:tcPr>
            <w:tcW w:w="1980" w:type="dxa"/>
          </w:tcPr>
          <w:p w14:paraId="1AAB53E4" w14:textId="4995DA3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0.27</w:t>
            </w:r>
          </w:p>
        </w:tc>
        <w:tc>
          <w:tcPr>
            <w:tcW w:w="2350" w:type="dxa"/>
          </w:tcPr>
          <w:p w14:paraId="52A0F05D" w14:textId="34ABC70E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33</w:t>
            </w:r>
          </w:p>
        </w:tc>
      </w:tr>
      <w:tr w:rsidR="00513230" w:rsidRPr="002C51DD" w14:paraId="75A153AF" w14:textId="44D91D2A" w:rsidTr="00A74F95">
        <w:tc>
          <w:tcPr>
            <w:tcW w:w="2339" w:type="dxa"/>
          </w:tcPr>
          <w:p w14:paraId="56164716" w14:textId="65C4107A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France</w:t>
            </w:r>
          </w:p>
        </w:tc>
        <w:tc>
          <w:tcPr>
            <w:tcW w:w="2398" w:type="dxa"/>
          </w:tcPr>
          <w:p w14:paraId="2FB1E837" w14:textId="40A1C3BA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764</w:t>
            </w:r>
          </w:p>
        </w:tc>
        <w:tc>
          <w:tcPr>
            <w:tcW w:w="1980" w:type="dxa"/>
          </w:tcPr>
          <w:p w14:paraId="4C765522" w14:textId="36D8C0C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0.11</w:t>
            </w:r>
          </w:p>
        </w:tc>
        <w:tc>
          <w:tcPr>
            <w:tcW w:w="2350" w:type="dxa"/>
          </w:tcPr>
          <w:p w14:paraId="32951A84" w14:textId="3D002546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7</w:t>
            </w:r>
          </w:p>
        </w:tc>
      </w:tr>
      <w:tr w:rsidR="00513230" w:rsidRPr="002C51DD" w14:paraId="667DB52C" w14:textId="45DC55D0" w:rsidTr="00A74F95">
        <w:tc>
          <w:tcPr>
            <w:tcW w:w="2339" w:type="dxa"/>
          </w:tcPr>
          <w:p w14:paraId="49145071" w14:textId="4A74430A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Germany</w:t>
            </w:r>
          </w:p>
        </w:tc>
        <w:tc>
          <w:tcPr>
            <w:tcW w:w="2398" w:type="dxa"/>
          </w:tcPr>
          <w:p w14:paraId="2B5EE03C" w14:textId="0BEAB44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574</w:t>
            </w:r>
          </w:p>
        </w:tc>
        <w:tc>
          <w:tcPr>
            <w:tcW w:w="1980" w:type="dxa"/>
          </w:tcPr>
          <w:p w14:paraId="6C2EA4F6" w14:textId="2842E905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0.07</w:t>
            </w:r>
          </w:p>
        </w:tc>
        <w:tc>
          <w:tcPr>
            <w:tcW w:w="2350" w:type="dxa"/>
          </w:tcPr>
          <w:p w14:paraId="0048EEC0" w14:textId="49A2C951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2</w:t>
            </w:r>
          </w:p>
        </w:tc>
      </w:tr>
      <w:tr w:rsidR="00513230" w:rsidRPr="002C51DD" w14:paraId="78071597" w14:textId="721C34A6" w:rsidTr="00A74F95">
        <w:tc>
          <w:tcPr>
            <w:tcW w:w="2339" w:type="dxa"/>
          </w:tcPr>
          <w:p w14:paraId="7F9C4BFF" w14:textId="64B9618F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Russian Federation</w:t>
            </w:r>
          </w:p>
        </w:tc>
        <w:tc>
          <w:tcPr>
            <w:tcW w:w="2398" w:type="dxa"/>
          </w:tcPr>
          <w:p w14:paraId="2A1C6EDF" w14:textId="10077F7A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9,432</w:t>
            </w:r>
          </w:p>
        </w:tc>
        <w:tc>
          <w:tcPr>
            <w:tcW w:w="1980" w:type="dxa"/>
          </w:tcPr>
          <w:p w14:paraId="1B79658D" w14:textId="01D19758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0.66</w:t>
            </w:r>
          </w:p>
        </w:tc>
        <w:tc>
          <w:tcPr>
            <w:tcW w:w="2350" w:type="dxa"/>
          </w:tcPr>
          <w:p w14:paraId="455FE6DF" w14:textId="05120EEE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219</w:t>
            </w:r>
          </w:p>
        </w:tc>
      </w:tr>
      <w:tr w:rsidR="00513230" w:rsidRPr="002C51DD" w14:paraId="71233363" w14:textId="4B69BB0B" w:rsidTr="00A74F95">
        <w:tc>
          <w:tcPr>
            <w:tcW w:w="2339" w:type="dxa"/>
          </w:tcPr>
          <w:p w14:paraId="151F3D83" w14:textId="795DDD7E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Türkiye</w:t>
            </w:r>
          </w:p>
        </w:tc>
        <w:tc>
          <w:tcPr>
            <w:tcW w:w="2398" w:type="dxa"/>
          </w:tcPr>
          <w:p w14:paraId="6A8797FD" w14:textId="0AB22E03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9,548</w:t>
            </w:r>
          </w:p>
        </w:tc>
        <w:tc>
          <w:tcPr>
            <w:tcW w:w="1980" w:type="dxa"/>
          </w:tcPr>
          <w:p w14:paraId="0BE17223" w14:textId="6801906B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1.14</w:t>
            </w:r>
          </w:p>
        </w:tc>
        <w:tc>
          <w:tcPr>
            <w:tcW w:w="2350" w:type="dxa"/>
          </w:tcPr>
          <w:p w14:paraId="383BCA36" w14:textId="20D38685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76</w:t>
            </w:r>
          </w:p>
        </w:tc>
      </w:tr>
      <w:tr w:rsidR="00513230" w:rsidRPr="002C51DD" w14:paraId="2A1C41D8" w14:textId="600A7D2A" w:rsidTr="00A74F95">
        <w:tc>
          <w:tcPr>
            <w:tcW w:w="2339" w:type="dxa"/>
          </w:tcPr>
          <w:p w14:paraId="7FF27762" w14:textId="0442CCCA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Ukraine</w:t>
            </w:r>
          </w:p>
        </w:tc>
        <w:tc>
          <w:tcPr>
            <w:tcW w:w="2398" w:type="dxa"/>
          </w:tcPr>
          <w:p w14:paraId="13DAEC88" w14:textId="709BCF8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3,721</w:t>
            </w:r>
          </w:p>
        </w:tc>
        <w:tc>
          <w:tcPr>
            <w:tcW w:w="1980" w:type="dxa"/>
          </w:tcPr>
          <w:p w14:paraId="7043D7DB" w14:textId="5BA8C0AD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0.82</w:t>
            </w:r>
          </w:p>
        </w:tc>
        <w:tc>
          <w:tcPr>
            <w:tcW w:w="2350" w:type="dxa"/>
          </w:tcPr>
          <w:p w14:paraId="0B1B4924" w14:textId="6DDC6FC9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194</w:t>
            </w:r>
          </w:p>
        </w:tc>
      </w:tr>
      <w:tr w:rsidR="00513230" w:rsidRPr="002C51DD" w14:paraId="30CD4993" w14:textId="32A07FE7" w:rsidTr="00A74F95">
        <w:tc>
          <w:tcPr>
            <w:tcW w:w="2339" w:type="dxa"/>
          </w:tcPr>
          <w:p w14:paraId="3FAB1FBA" w14:textId="5C1802EC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Romania</w:t>
            </w:r>
          </w:p>
        </w:tc>
        <w:tc>
          <w:tcPr>
            <w:tcW w:w="2398" w:type="dxa"/>
          </w:tcPr>
          <w:p w14:paraId="22ED0BFF" w14:textId="24754EDA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2,971</w:t>
            </w:r>
          </w:p>
        </w:tc>
        <w:tc>
          <w:tcPr>
            <w:tcW w:w="1980" w:type="dxa"/>
          </w:tcPr>
          <w:p w14:paraId="68500F23" w14:textId="296039C5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1.55</w:t>
            </w:r>
          </w:p>
        </w:tc>
        <w:tc>
          <w:tcPr>
            <w:tcW w:w="2350" w:type="dxa"/>
          </w:tcPr>
          <w:p w14:paraId="75A1763A" w14:textId="3CB95932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76</w:t>
            </w:r>
          </w:p>
        </w:tc>
      </w:tr>
      <w:tr w:rsidR="00513230" w:rsidRPr="002C51DD" w14:paraId="015B03A0" w14:textId="01CB24D7" w:rsidTr="00A74F95">
        <w:tc>
          <w:tcPr>
            <w:tcW w:w="2339" w:type="dxa"/>
          </w:tcPr>
          <w:p w14:paraId="113E0133" w14:textId="67E7A7AB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TOTAL for all states</w:t>
            </w:r>
          </w:p>
        </w:tc>
        <w:tc>
          <w:tcPr>
            <w:tcW w:w="2398" w:type="dxa"/>
          </w:tcPr>
          <w:p w14:paraId="12C0AA11" w14:textId="17151C85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4</w:t>
            </w: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4,257</w:t>
            </w:r>
          </w:p>
        </w:tc>
        <w:tc>
          <w:tcPr>
            <w:tcW w:w="1980" w:type="dxa"/>
          </w:tcPr>
          <w:p w14:paraId="58D0D798" w14:textId="5080C0D9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350" w:type="dxa"/>
          </w:tcPr>
          <w:p w14:paraId="441F6261" w14:textId="2D9FB1A6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986</w:t>
            </w:r>
          </w:p>
        </w:tc>
      </w:tr>
    </w:tbl>
    <w:p w14:paraId="580FD347" w14:textId="77777777" w:rsidR="00A74F95" w:rsidRDefault="00A74F95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39"/>
        <w:gridCol w:w="2398"/>
        <w:gridCol w:w="1980"/>
        <w:gridCol w:w="2350"/>
      </w:tblGrid>
      <w:tr w:rsidR="00513230" w:rsidRPr="002C51DD" w14:paraId="375A955F" w14:textId="66F9839F" w:rsidTr="00A74F95">
        <w:tc>
          <w:tcPr>
            <w:tcW w:w="2339" w:type="dxa"/>
          </w:tcPr>
          <w:p w14:paraId="7A3698E4" w14:textId="3FE03F4E" w:rsidR="00513230" w:rsidRPr="002C51DD" w:rsidRDefault="00513230" w:rsidP="00513230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C51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398" w:type="dxa"/>
          </w:tcPr>
          <w:p w14:paraId="1B945193" w14:textId="78ED33A4" w:rsidR="00513230" w:rsidRPr="002C51DD" w:rsidRDefault="00513230" w:rsidP="00513230">
            <w:pPr>
              <w:pStyle w:val="Body1"/>
              <w:rPr>
                <w:rFonts w:asciiTheme="majorHAnsi" w:hAnsiTheme="majorHAnsi" w:cstheme="majorHAnsi"/>
                <w:sz w:val="24"/>
                <w:szCs w:val="24"/>
              </w:rPr>
            </w:pPr>
            <w:r w:rsidRPr="002C51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Applications allocated to a judicial formation</w:t>
            </w:r>
          </w:p>
        </w:tc>
        <w:tc>
          <w:tcPr>
            <w:tcW w:w="1980" w:type="dxa"/>
          </w:tcPr>
          <w:p w14:paraId="050B01B4" w14:textId="712018AE" w:rsidR="00513230" w:rsidRPr="002C51DD" w:rsidRDefault="00513230" w:rsidP="00513230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Allocated applications per 10,000 people </w:t>
            </w:r>
          </w:p>
        </w:tc>
        <w:tc>
          <w:tcPr>
            <w:tcW w:w="2350" w:type="dxa"/>
          </w:tcPr>
          <w:p w14:paraId="013F65F9" w14:textId="47DB429E" w:rsidR="00513230" w:rsidRPr="002C51DD" w:rsidRDefault="00513230" w:rsidP="00513230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C51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Judgments finding at least one violation</w:t>
            </w:r>
          </w:p>
        </w:tc>
      </w:tr>
      <w:tr w:rsidR="00513230" w:rsidRPr="002C51DD" w14:paraId="4BD8D5ED" w14:textId="3622755A" w:rsidTr="00A74F95">
        <w:tc>
          <w:tcPr>
            <w:tcW w:w="2339" w:type="dxa"/>
          </w:tcPr>
          <w:p w14:paraId="29213F4B" w14:textId="7E399FFF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UK</w:t>
            </w:r>
          </w:p>
        </w:tc>
        <w:tc>
          <w:tcPr>
            <w:tcW w:w="2398" w:type="dxa"/>
          </w:tcPr>
          <w:p w14:paraId="7B85FBA8" w14:textId="60802702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301</w:t>
            </w:r>
          </w:p>
        </w:tc>
        <w:tc>
          <w:tcPr>
            <w:tcW w:w="1980" w:type="dxa"/>
          </w:tcPr>
          <w:p w14:paraId="2E21D69C" w14:textId="1598FE9C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0.04</w:t>
            </w:r>
          </w:p>
        </w:tc>
        <w:tc>
          <w:tcPr>
            <w:tcW w:w="2350" w:type="dxa"/>
          </w:tcPr>
          <w:p w14:paraId="0A7B99A4" w14:textId="4197739A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2</w:t>
            </w:r>
          </w:p>
        </w:tc>
      </w:tr>
      <w:tr w:rsidR="00513230" w:rsidRPr="002C51DD" w14:paraId="2BDCEF02" w14:textId="15B2394D" w:rsidTr="00A74F95">
        <w:tc>
          <w:tcPr>
            <w:tcW w:w="2339" w:type="dxa"/>
          </w:tcPr>
          <w:p w14:paraId="5893C228" w14:textId="7777777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 xml:space="preserve">Italy </w:t>
            </w:r>
          </w:p>
        </w:tc>
        <w:tc>
          <w:tcPr>
            <w:tcW w:w="2398" w:type="dxa"/>
          </w:tcPr>
          <w:p w14:paraId="378C694D" w14:textId="40494102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1,497</w:t>
            </w:r>
          </w:p>
        </w:tc>
        <w:tc>
          <w:tcPr>
            <w:tcW w:w="1980" w:type="dxa"/>
          </w:tcPr>
          <w:p w14:paraId="3377C227" w14:textId="402F4E6C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0.25</w:t>
            </w:r>
          </w:p>
        </w:tc>
        <w:tc>
          <w:tcPr>
            <w:tcW w:w="2350" w:type="dxa"/>
          </w:tcPr>
          <w:p w14:paraId="2337CA58" w14:textId="6A3AAA5E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14</w:t>
            </w:r>
          </w:p>
        </w:tc>
      </w:tr>
      <w:tr w:rsidR="00513230" w:rsidRPr="002C51DD" w14:paraId="399CF2CA" w14:textId="33762F7D" w:rsidTr="00A74F95">
        <w:tc>
          <w:tcPr>
            <w:tcW w:w="2339" w:type="dxa"/>
          </w:tcPr>
          <w:p w14:paraId="55C9ED80" w14:textId="7777777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France</w:t>
            </w:r>
          </w:p>
        </w:tc>
        <w:tc>
          <w:tcPr>
            <w:tcW w:w="2398" w:type="dxa"/>
          </w:tcPr>
          <w:p w14:paraId="3EA9362B" w14:textId="305A0FB2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638</w:t>
            </w:r>
          </w:p>
        </w:tc>
        <w:tc>
          <w:tcPr>
            <w:tcW w:w="1980" w:type="dxa"/>
          </w:tcPr>
          <w:p w14:paraId="4887FA45" w14:textId="71E04DB0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0.09</w:t>
            </w:r>
          </w:p>
        </w:tc>
        <w:tc>
          <w:tcPr>
            <w:tcW w:w="2350" w:type="dxa"/>
          </w:tcPr>
          <w:p w14:paraId="5C098B56" w14:textId="67A6C6AA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10</w:t>
            </w:r>
          </w:p>
        </w:tc>
      </w:tr>
      <w:tr w:rsidR="00513230" w:rsidRPr="002C51DD" w14:paraId="0775F4E3" w14:textId="5E007E5F" w:rsidTr="00A74F95">
        <w:tc>
          <w:tcPr>
            <w:tcW w:w="2339" w:type="dxa"/>
          </w:tcPr>
          <w:p w14:paraId="551AF2BE" w14:textId="7777777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Germany</w:t>
            </w:r>
          </w:p>
        </w:tc>
        <w:tc>
          <w:tcPr>
            <w:tcW w:w="2398" w:type="dxa"/>
          </w:tcPr>
          <w:p w14:paraId="05DF482E" w14:textId="09E55452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569</w:t>
            </w:r>
          </w:p>
        </w:tc>
        <w:tc>
          <w:tcPr>
            <w:tcW w:w="1980" w:type="dxa"/>
          </w:tcPr>
          <w:p w14:paraId="3F61F7D8" w14:textId="45114B94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0.07</w:t>
            </w:r>
          </w:p>
        </w:tc>
        <w:tc>
          <w:tcPr>
            <w:tcW w:w="2350" w:type="dxa"/>
          </w:tcPr>
          <w:p w14:paraId="4E4C0CFC" w14:textId="042064E4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4</w:t>
            </w:r>
          </w:p>
        </w:tc>
      </w:tr>
      <w:tr w:rsidR="00513230" w:rsidRPr="002C51DD" w14:paraId="7421E126" w14:textId="2789EFC4" w:rsidTr="00A74F95">
        <w:tc>
          <w:tcPr>
            <w:tcW w:w="2339" w:type="dxa"/>
          </w:tcPr>
          <w:p w14:paraId="53406289" w14:textId="7777777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Russian Federation</w:t>
            </w:r>
          </w:p>
        </w:tc>
        <w:tc>
          <w:tcPr>
            <w:tcW w:w="2398" w:type="dxa"/>
          </w:tcPr>
          <w:p w14:paraId="6810F2D7" w14:textId="554FBBE2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8,923</w:t>
            </w:r>
          </w:p>
        </w:tc>
        <w:tc>
          <w:tcPr>
            <w:tcW w:w="1980" w:type="dxa"/>
          </w:tcPr>
          <w:p w14:paraId="0E786DC4" w14:textId="438D434F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0.62</w:t>
            </w:r>
          </w:p>
        </w:tc>
        <w:tc>
          <w:tcPr>
            <w:tcW w:w="2350" w:type="dxa"/>
          </w:tcPr>
          <w:p w14:paraId="11A624EB" w14:textId="69CB3F5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173</w:t>
            </w:r>
          </w:p>
        </w:tc>
      </w:tr>
      <w:tr w:rsidR="00513230" w:rsidRPr="002C51DD" w14:paraId="57C0F24C" w14:textId="6AE389FC" w:rsidTr="00A74F95">
        <w:tc>
          <w:tcPr>
            <w:tcW w:w="2339" w:type="dxa"/>
          </w:tcPr>
          <w:p w14:paraId="52C75DEC" w14:textId="2A8FD000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Türkiye</w:t>
            </w:r>
          </w:p>
        </w:tc>
        <w:tc>
          <w:tcPr>
            <w:tcW w:w="2398" w:type="dxa"/>
          </w:tcPr>
          <w:p w14:paraId="456B0EF6" w14:textId="6EE7C0A3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9,104</w:t>
            </w:r>
          </w:p>
        </w:tc>
        <w:tc>
          <w:tcPr>
            <w:tcW w:w="1980" w:type="dxa"/>
          </w:tcPr>
          <w:p w14:paraId="5178147E" w14:textId="1D5BFFAC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1.09</w:t>
            </w:r>
          </w:p>
        </w:tc>
        <w:tc>
          <w:tcPr>
            <w:tcW w:w="2350" w:type="dxa"/>
          </w:tcPr>
          <w:p w14:paraId="778E658E" w14:textId="3549D582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85</w:t>
            </w:r>
          </w:p>
        </w:tc>
      </w:tr>
      <w:tr w:rsidR="00513230" w:rsidRPr="002C51DD" w14:paraId="23ACA469" w14:textId="20393A79" w:rsidTr="00A74F95">
        <w:tc>
          <w:tcPr>
            <w:tcW w:w="2339" w:type="dxa"/>
          </w:tcPr>
          <w:p w14:paraId="201C3D68" w14:textId="7777777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Ukraine</w:t>
            </w:r>
          </w:p>
        </w:tc>
        <w:tc>
          <w:tcPr>
            <w:tcW w:w="2398" w:type="dxa"/>
          </w:tcPr>
          <w:p w14:paraId="766C728E" w14:textId="4BD630DD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4,271</w:t>
            </w:r>
          </w:p>
        </w:tc>
        <w:tc>
          <w:tcPr>
            <w:tcW w:w="1980" w:type="dxa"/>
          </w:tcPr>
          <w:p w14:paraId="36A6CE21" w14:textId="6D6C3862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0.94</w:t>
            </w:r>
          </w:p>
        </w:tc>
        <w:tc>
          <w:tcPr>
            <w:tcW w:w="2350" w:type="dxa"/>
          </w:tcPr>
          <w:p w14:paraId="64B2CFB8" w14:textId="6C909B1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82</w:t>
            </w:r>
          </w:p>
        </w:tc>
      </w:tr>
      <w:tr w:rsidR="00513230" w:rsidRPr="002C51DD" w14:paraId="471E800C" w14:textId="5C9274C7" w:rsidTr="00A74F95">
        <w:tc>
          <w:tcPr>
            <w:tcW w:w="2339" w:type="dxa"/>
          </w:tcPr>
          <w:p w14:paraId="312C0771" w14:textId="77777777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Romania</w:t>
            </w:r>
          </w:p>
        </w:tc>
        <w:tc>
          <w:tcPr>
            <w:tcW w:w="2398" w:type="dxa"/>
          </w:tcPr>
          <w:p w14:paraId="012655D8" w14:textId="731D6DAB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2,994</w:t>
            </w:r>
          </w:p>
        </w:tc>
        <w:tc>
          <w:tcPr>
            <w:tcW w:w="1980" w:type="dxa"/>
          </w:tcPr>
          <w:p w14:paraId="5426C6F5" w14:textId="6BBBEBB4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1.55</w:t>
            </w:r>
          </w:p>
        </w:tc>
        <w:tc>
          <w:tcPr>
            <w:tcW w:w="2350" w:type="dxa"/>
          </w:tcPr>
          <w:p w14:paraId="7E775E56" w14:textId="029AAA69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64</w:t>
            </w:r>
          </w:p>
        </w:tc>
      </w:tr>
      <w:tr w:rsidR="00513230" w:rsidRPr="002C51DD" w14:paraId="46EAABCB" w14:textId="2C9E38CA" w:rsidTr="00A74F95">
        <w:tc>
          <w:tcPr>
            <w:tcW w:w="2339" w:type="dxa"/>
          </w:tcPr>
          <w:p w14:paraId="391E2AE7" w14:textId="79F53CB4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TOTAL for all states</w:t>
            </w:r>
          </w:p>
        </w:tc>
        <w:tc>
          <w:tcPr>
            <w:tcW w:w="2398" w:type="dxa"/>
          </w:tcPr>
          <w:p w14:paraId="5560C4FF" w14:textId="349481ED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41,681</w:t>
            </w:r>
          </w:p>
        </w:tc>
        <w:tc>
          <w:tcPr>
            <w:tcW w:w="1980" w:type="dxa"/>
          </w:tcPr>
          <w:p w14:paraId="44255687" w14:textId="234E4C02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N/A</w:t>
            </w:r>
          </w:p>
        </w:tc>
        <w:tc>
          <w:tcPr>
            <w:tcW w:w="2350" w:type="dxa"/>
          </w:tcPr>
          <w:p w14:paraId="580B9AF5" w14:textId="028824BD" w:rsidR="00513230" w:rsidRPr="002C51DD" w:rsidRDefault="00513230" w:rsidP="00513230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762</w:t>
            </w:r>
          </w:p>
        </w:tc>
      </w:tr>
    </w:tbl>
    <w:p w14:paraId="7A7EC4AE" w14:textId="2DFB7084" w:rsidR="002C51DD" w:rsidRDefault="002C51DD" w:rsidP="006C19C6">
      <w:pPr>
        <w:pStyle w:val="Body1"/>
        <w:rPr>
          <w:rFonts w:asciiTheme="majorHAnsi" w:hAnsiTheme="majorHAnsi" w:cstheme="majorHAnsi"/>
          <w:b/>
          <w:bCs/>
          <w:sz w:val="22"/>
          <w:szCs w:val="22"/>
        </w:rPr>
      </w:pPr>
    </w:p>
    <w:p w14:paraId="2218534B" w14:textId="77777777" w:rsidR="002C51DD" w:rsidRDefault="002C51DD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10C22C23" w14:textId="7FCD478B" w:rsidR="0059514D" w:rsidRPr="002C51DD" w:rsidRDefault="002C51DD" w:rsidP="002C51DD">
      <w:pPr>
        <w:pStyle w:val="Level1"/>
        <w:rPr>
          <w:sz w:val="22"/>
          <w:szCs w:val="22"/>
        </w:rPr>
      </w:pPr>
      <w:r w:rsidRPr="002C51DD">
        <w:rPr>
          <w:rFonts w:asciiTheme="majorHAnsi" w:hAnsiTheme="majorHAnsi" w:cstheme="majorHAnsi"/>
          <w:b/>
          <w:bCs/>
          <w:sz w:val="24"/>
          <w:szCs w:val="24"/>
        </w:rPr>
        <w:lastRenderedPageBreak/>
        <w:t>Previous proposals to modify/repeal the HRA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4104"/>
      </w:tblGrid>
      <w:tr w:rsidR="007E38D4" w:rsidRPr="009A5CA0" w14:paraId="7FF2F09D" w14:textId="77777777" w:rsidTr="00513230">
        <w:tc>
          <w:tcPr>
            <w:tcW w:w="1555" w:type="dxa"/>
          </w:tcPr>
          <w:p w14:paraId="3B14A6EE" w14:textId="7EA68F57" w:rsidR="007E38D4" w:rsidRPr="00513230" w:rsidRDefault="007E38D4" w:rsidP="007E38D4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54BD8C" w14:textId="1CF03C3C" w:rsidR="007E38D4" w:rsidRPr="00513230" w:rsidRDefault="007E38D4" w:rsidP="007E38D4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132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4104" w:type="dxa"/>
          </w:tcPr>
          <w:p w14:paraId="27F86978" w14:textId="74195148" w:rsidR="007E38D4" w:rsidRPr="00513230" w:rsidRDefault="007E38D4" w:rsidP="007E38D4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132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Link</w:t>
            </w:r>
          </w:p>
        </w:tc>
      </w:tr>
      <w:tr w:rsidR="006C19C6" w:rsidRPr="009A5CA0" w14:paraId="4FCDA0DF" w14:textId="77777777" w:rsidTr="00513230">
        <w:tc>
          <w:tcPr>
            <w:tcW w:w="1555" w:type="dxa"/>
            <w:vMerge w:val="restart"/>
          </w:tcPr>
          <w:p w14:paraId="2605B6F1" w14:textId="4ED6F213" w:rsidR="006C19C6" w:rsidRPr="00513230" w:rsidRDefault="006C19C6" w:rsidP="007E38D4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132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Introduce a British Bill of Rights to replace the HRA</w:t>
            </w:r>
          </w:p>
        </w:tc>
        <w:tc>
          <w:tcPr>
            <w:tcW w:w="3402" w:type="dxa"/>
          </w:tcPr>
          <w:p w14:paraId="4447F16D" w14:textId="60CF9D81" w:rsidR="006C19C6" w:rsidRPr="002C51DD" w:rsidRDefault="006C19C6" w:rsidP="007E38D4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Governance of Britain Green Paper 2007</w:t>
            </w:r>
          </w:p>
        </w:tc>
        <w:tc>
          <w:tcPr>
            <w:tcW w:w="4104" w:type="dxa"/>
          </w:tcPr>
          <w:p w14:paraId="1705AD14" w14:textId="14DE8F14" w:rsidR="006C19C6" w:rsidRPr="002C51DD" w:rsidRDefault="00B173AC" w:rsidP="007E38D4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hyperlink r:id="rId15" w:history="1">
              <w:r w:rsidR="006C19C6" w:rsidRPr="002C51DD">
                <w:rPr>
                  <w:rStyle w:val="Hyperlink"/>
                  <w:rFonts w:asciiTheme="minorHAnsi" w:hAnsiTheme="minorHAnsi" w:cstheme="majorHAnsi"/>
                  <w:sz w:val="22"/>
                  <w:szCs w:val="22"/>
                </w:rPr>
                <w:t>https://assets.publishing.service.gov.uk/government/uploads/system/uploads/attachment_data/file/228834/7170.pdf</w:t>
              </w:r>
            </w:hyperlink>
            <w:r w:rsidR="006C19C6" w:rsidRPr="002C51DD">
              <w:rPr>
                <w:rFonts w:asciiTheme="minorHAnsi" w:hAnsiTheme="minorHAnsi" w:cstheme="majorHAnsi"/>
                <w:sz w:val="22"/>
                <w:szCs w:val="22"/>
              </w:rPr>
              <w:t xml:space="preserve"> </w:t>
            </w:r>
          </w:p>
        </w:tc>
      </w:tr>
      <w:tr w:rsidR="006C19C6" w:rsidRPr="009A5CA0" w14:paraId="6E4A14DF" w14:textId="77777777" w:rsidTr="00513230">
        <w:tc>
          <w:tcPr>
            <w:tcW w:w="1555" w:type="dxa"/>
            <w:vMerge/>
          </w:tcPr>
          <w:p w14:paraId="1EA1653A" w14:textId="77777777" w:rsidR="006C19C6" w:rsidRPr="00513230" w:rsidRDefault="006C19C6" w:rsidP="007E38D4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B53039" w14:textId="3A02584B" w:rsidR="006C19C6" w:rsidRPr="002C51DD" w:rsidRDefault="006C19C6" w:rsidP="007E38D4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Protecting Human Rights in the UK Paper 2014</w:t>
            </w:r>
          </w:p>
        </w:tc>
        <w:tc>
          <w:tcPr>
            <w:tcW w:w="4104" w:type="dxa"/>
          </w:tcPr>
          <w:p w14:paraId="3207BF7E" w14:textId="74ECAAAB" w:rsidR="006C19C6" w:rsidRPr="002C51DD" w:rsidRDefault="00B173AC" w:rsidP="007E38D4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hyperlink r:id="rId16" w:history="1">
              <w:r w:rsidR="006C19C6" w:rsidRPr="002C51DD">
                <w:rPr>
                  <w:rStyle w:val="Hyperlink"/>
                  <w:rFonts w:asciiTheme="minorHAnsi" w:hAnsiTheme="minorHAnsi" w:cstheme="majorHAnsi"/>
                  <w:sz w:val="22"/>
                  <w:szCs w:val="22"/>
                </w:rPr>
                <w:t>https://www.amnesty.org.uk/files/protectinghumanrightsinuk_conservativeparty.pdf?vhzrAQkxzwCH8hbjeYhhcu5B5lyPp_9K=</w:t>
              </w:r>
            </w:hyperlink>
            <w:r w:rsidR="006C19C6" w:rsidRPr="002C51DD">
              <w:rPr>
                <w:rFonts w:asciiTheme="minorHAnsi" w:hAnsiTheme="minorHAnsi" w:cstheme="majorHAnsi"/>
                <w:sz w:val="22"/>
                <w:szCs w:val="22"/>
              </w:rPr>
              <w:t xml:space="preserve"> </w:t>
            </w:r>
          </w:p>
        </w:tc>
      </w:tr>
      <w:tr w:rsidR="006C19C6" w:rsidRPr="009A5CA0" w14:paraId="799B19E7" w14:textId="77777777" w:rsidTr="00513230">
        <w:tc>
          <w:tcPr>
            <w:tcW w:w="1555" w:type="dxa"/>
            <w:vMerge/>
          </w:tcPr>
          <w:p w14:paraId="2B0F8F85" w14:textId="77777777" w:rsidR="006C19C6" w:rsidRPr="00513230" w:rsidRDefault="006C19C6" w:rsidP="007E38D4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01B95C" w14:textId="709ACD67" w:rsidR="006C19C6" w:rsidRPr="002C51DD" w:rsidRDefault="006C19C6" w:rsidP="007E38D4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2C51DD">
              <w:rPr>
                <w:rFonts w:asciiTheme="minorHAnsi" w:hAnsiTheme="minorHAnsi" w:cstheme="majorHAnsi"/>
                <w:sz w:val="22"/>
                <w:szCs w:val="22"/>
              </w:rPr>
              <w:t>Queen’s Speech 2015</w:t>
            </w:r>
          </w:p>
        </w:tc>
        <w:tc>
          <w:tcPr>
            <w:tcW w:w="4104" w:type="dxa"/>
          </w:tcPr>
          <w:p w14:paraId="5030C24E" w14:textId="28FF42B5" w:rsidR="006C19C6" w:rsidRPr="002C51DD" w:rsidRDefault="00B173AC" w:rsidP="007E38D4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hyperlink r:id="rId17" w:history="1">
              <w:r w:rsidR="006C19C6" w:rsidRPr="002C51DD">
                <w:rPr>
                  <w:rStyle w:val="Hyperlink"/>
                  <w:rFonts w:asciiTheme="minorHAnsi" w:hAnsiTheme="minorHAnsi" w:cstheme="majorHAnsi"/>
                  <w:sz w:val="22"/>
                  <w:szCs w:val="22"/>
                </w:rPr>
                <w:t>https://www.gov.uk/government/speeches/queens-speech-2015</w:t>
              </w:r>
            </w:hyperlink>
            <w:r w:rsidR="006C19C6" w:rsidRPr="002C51DD">
              <w:rPr>
                <w:rFonts w:asciiTheme="minorHAnsi" w:hAnsiTheme="minorHAnsi" w:cstheme="majorHAnsi"/>
                <w:sz w:val="22"/>
                <w:szCs w:val="22"/>
              </w:rPr>
              <w:t xml:space="preserve"> </w:t>
            </w:r>
          </w:p>
        </w:tc>
      </w:tr>
      <w:tr w:rsidR="007E38D4" w:rsidRPr="009A5CA0" w14:paraId="1CE4CB73" w14:textId="77777777" w:rsidTr="00513230">
        <w:tc>
          <w:tcPr>
            <w:tcW w:w="1555" w:type="dxa"/>
          </w:tcPr>
          <w:p w14:paraId="4E3D9E84" w14:textId="2711AA28" w:rsidR="007E38D4" w:rsidRPr="00513230" w:rsidRDefault="006C19C6" w:rsidP="007E38D4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132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Reform or repeal the HRA</w:t>
            </w:r>
          </w:p>
        </w:tc>
        <w:tc>
          <w:tcPr>
            <w:tcW w:w="3402" w:type="dxa"/>
          </w:tcPr>
          <w:p w14:paraId="2CF70180" w14:textId="4C3EA307" w:rsidR="007E38D4" w:rsidRPr="00513230" w:rsidRDefault="007E5FE5" w:rsidP="007E38D4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 w:rsidRPr="00513230">
              <w:rPr>
                <w:rFonts w:asciiTheme="minorHAnsi" w:hAnsiTheme="minorHAnsi" w:cstheme="majorHAnsi"/>
                <w:sz w:val="22"/>
                <w:szCs w:val="22"/>
              </w:rPr>
              <w:t xml:space="preserve">The </w:t>
            </w:r>
            <w:r w:rsidR="006C19C6" w:rsidRPr="00513230">
              <w:rPr>
                <w:rFonts w:asciiTheme="minorHAnsi" w:hAnsiTheme="minorHAnsi" w:cstheme="majorHAnsi"/>
                <w:sz w:val="22"/>
                <w:szCs w:val="22"/>
              </w:rPr>
              <w:t>Judicial Power Project submitted evidence to the JCHR’s 20 Years of the Human Rights Act Inquiry in 2018</w:t>
            </w:r>
            <w:r w:rsidR="00510B13" w:rsidRPr="00513230">
              <w:rPr>
                <w:rFonts w:asciiTheme="minorHAnsi" w:hAnsiTheme="minorHAnsi" w:cstheme="majorHAnsi"/>
                <w:sz w:val="22"/>
                <w:szCs w:val="22"/>
              </w:rPr>
              <w:t>. They felt that the HRA had compromised important constitutional principles, and the UK’s pre-HRA framework was sufficient.</w:t>
            </w:r>
          </w:p>
        </w:tc>
        <w:tc>
          <w:tcPr>
            <w:tcW w:w="4104" w:type="dxa"/>
          </w:tcPr>
          <w:p w14:paraId="1B015349" w14:textId="150BD585" w:rsidR="007E38D4" w:rsidRPr="00513230" w:rsidRDefault="00B173AC" w:rsidP="007E38D4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hyperlink r:id="rId18" w:history="1">
              <w:r w:rsidR="006C19C6" w:rsidRPr="00513230">
                <w:rPr>
                  <w:rStyle w:val="Hyperlink"/>
                  <w:rFonts w:asciiTheme="minorHAnsi" w:hAnsiTheme="minorHAnsi" w:cstheme="majorHAnsi"/>
                  <w:sz w:val="22"/>
                  <w:szCs w:val="22"/>
                </w:rPr>
                <w:t>http://data.parliament.uk/writtenevidence/committeeevidence.svc/evidencedocument/human-rights-committee/20-years-of-the-human-rights-act/written/90593.html</w:t>
              </w:r>
            </w:hyperlink>
            <w:r w:rsidR="006C19C6" w:rsidRPr="00513230">
              <w:rPr>
                <w:rFonts w:asciiTheme="minorHAnsi" w:hAnsiTheme="minorHAnsi" w:cstheme="majorHAnsi"/>
                <w:sz w:val="22"/>
                <w:szCs w:val="22"/>
              </w:rPr>
              <w:t xml:space="preserve"> </w:t>
            </w:r>
          </w:p>
        </w:tc>
      </w:tr>
      <w:tr w:rsidR="00513230" w:rsidRPr="009A5CA0" w14:paraId="012F666D" w14:textId="77777777" w:rsidTr="00513230">
        <w:tc>
          <w:tcPr>
            <w:tcW w:w="1555" w:type="dxa"/>
          </w:tcPr>
          <w:p w14:paraId="41E418D7" w14:textId="2574DB46" w:rsidR="00513230" w:rsidRPr="00513230" w:rsidRDefault="00513230" w:rsidP="007E38D4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132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IHRAR reviewed operation of HRA</w:t>
            </w:r>
          </w:p>
        </w:tc>
        <w:tc>
          <w:tcPr>
            <w:tcW w:w="3402" w:type="dxa"/>
          </w:tcPr>
          <w:p w14:paraId="6699D748" w14:textId="5F8BB524" w:rsidR="00513230" w:rsidRPr="00513230" w:rsidRDefault="007D573F" w:rsidP="007E38D4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IHRAR constituted to consider how the HRA is working in practice and whether any change is needed. The t</w:t>
            </w:r>
            <w:r w:rsidR="00513230" w:rsidRPr="00513230">
              <w:rPr>
                <w:rFonts w:asciiTheme="minorHAnsi" w:hAnsiTheme="minorHAnsi" w:cstheme="majorHAnsi"/>
                <w:sz w:val="22"/>
                <w:szCs w:val="22"/>
              </w:rPr>
              <w:t xml:space="preserve">wo key themes to consider were relationship between domestic Courts and ECtHR and </w:t>
            </w:r>
            <w:r>
              <w:rPr>
                <w:rFonts w:asciiTheme="minorHAnsi" w:hAnsiTheme="minorHAnsi" w:cstheme="majorHAnsi"/>
                <w:sz w:val="22"/>
                <w:szCs w:val="22"/>
              </w:rPr>
              <w:t>domestic “</w:t>
            </w:r>
            <w:r w:rsidR="00513230" w:rsidRPr="00513230">
              <w:rPr>
                <w:rFonts w:asciiTheme="minorHAnsi" w:hAnsiTheme="minorHAnsi" w:cstheme="majorHAnsi"/>
                <w:sz w:val="22"/>
                <w:szCs w:val="22"/>
              </w:rPr>
              <w:t>constitutional balance</w:t>
            </w:r>
            <w:r>
              <w:rPr>
                <w:rFonts w:asciiTheme="minorHAnsi" w:hAnsiTheme="minorHAnsi" w:cstheme="majorHAnsi"/>
                <w:sz w:val="22"/>
                <w:szCs w:val="22"/>
              </w:rPr>
              <w:t>”</w:t>
            </w:r>
          </w:p>
        </w:tc>
        <w:tc>
          <w:tcPr>
            <w:tcW w:w="4104" w:type="dxa"/>
          </w:tcPr>
          <w:p w14:paraId="340CFD31" w14:textId="77777777" w:rsidR="007D573F" w:rsidRDefault="00513230" w:rsidP="007D573F">
            <w:pPr>
              <w:pStyle w:val="Body1"/>
              <w:rPr>
                <w:rFonts w:asciiTheme="minorHAnsi" w:hAnsiTheme="minorHAnsi"/>
              </w:rPr>
            </w:pPr>
            <w:hyperlink r:id="rId19" w:history="1">
              <w:r w:rsidRPr="00513230">
                <w:rPr>
                  <w:rStyle w:val="Hyperlink"/>
                  <w:rFonts w:asciiTheme="minorHAnsi" w:hAnsiTheme="minorHAnsi"/>
                </w:rPr>
                <w:t>The Independent Human Rights Act Review – Executive Summary (publishing.service.gov.uk)</w:t>
              </w:r>
            </w:hyperlink>
          </w:p>
          <w:p w14:paraId="36E4C391" w14:textId="31FD374A" w:rsidR="00513230" w:rsidRPr="007D573F" w:rsidRDefault="007D573F" w:rsidP="007E38D4">
            <w:pPr>
              <w:pStyle w:val="Body1"/>
              <w:rPr>
                <w:rFonts w:asciiTheme="minorHAnsi" w:hAnsiTheme="minorHAnsi"/>
              </w:rPr>
            </w:pPr>
            <w:hyperlink r:id="rId20" w:history="1">
              <w:r w:rsidRPr="001872F8">
                <w:rPr>
                  <w:rStyle w:val="Hyperlink"/>
                  <w:rFonts w:asciiTheme="minorHAnsi" w:hAnsiTheme="minorHAnsi" w:cstheme="majorHAnsi"/>
                  <w:sz w:val="22"/>
                  <w:szCs w:val="22"/>
                </w:rPr>
                <w:t>Joint Committee on Human Rights Report of Inquiry into IHRAR</w:t>
              </w:r>
            </w:hyperlink>
          </w:p>
        </w:tc>
      </w:tr>
      <w:tr w:rsidR="007D573F" w:rsidRPr="009A5CA0" w14:paraId="60CDA442" w14:textId="77777777" w:rsidTr="00513230">
        <w:tc>
          <w:tcPr>
            <w:tcW w:w="1555" w:type="dxa"/>
          </w:tcPr>
          <w:p w14:paraId="7AD89680" w14:textId="26C2A9F1" w:rsidR="007D573F" w:rsidRPr="00513230" w:rsidRDefault="007D573F" w:rsidP="007E38D4">
            <w:pPr>
              <w:pStyle w:val="Body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132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Bill of Rights Bill</w:t>
            </w:r>
          </w:p>
        </w:tc>
        <w:tc>
          <w:tcPr>
            <w:tcW w:w="3402" w:type="dxa"/>
          </w:tcPr>
          <w:p w14:paraId="6212AB34" w14:textId="445C4E87" w:rsidR="007D573F" w:rsidRPr="00513230" w:rsidRDefault="00A74F95" w:rsidP="007E38D4">
            <w:pPr>
              <w:pStyle w:val="Body1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 xml:space="preserve">Bill setting out legislation to repeal and replace the HRA – in particular to weaken the link between Strasbourg case law and domestic case law and removing the interpretive obligation. </w:t>
            </w:r>
          </w:p>
        </w:tc>
        <w:tc>
          <w:tcPr>
            <w:tcW w:w="4104" w:type="dxa"/>
          </w:tcPr>
          <w:p w14:paraId="501ED391" w14:textId="77777777" w:rsidR="007D573F" w:rsidRPr="009A5CA0" w:rsidRDefault="007D573F" w:rsidP="00A74F95">
            <w:pPr>
              <w:pStyle w:val="Body1"/>
              <w:jc w:val="left"/>
              <w:rPr>
                <w:rFonts w:asciiTheme="minorHAnsi" w:hAnsiTheme="minorHAnsi" w:cstheme="majorHAnsi"/>
                <w:sz w:val="22"/>
                <w:szCs w:val="22"/>
              </w:rPr>
            </w:pPr>
            <w:hyperlink r:id="rId21" w:history="1">
              <w:r w:rsidRPr="009A5CA0">
                <w:rPr>
                  <w:rStyle w:val="Hyperlink"/>
                  <w:rFonts w:asciiTheme="minorHAnsi" w:hAnsiTheme="minorHAnsi" w:cstheme="majorHAnsi"/>
                  <w:sz w:val="22"/>
                  <w:szCs w:val="22"/>
                </w:rPr>
                <w:t>Latest draft of the Bill of Rights Bill</w:t>
              </w:r>
            </w:hyperlink>
          </w:p>
          <w:p w14:paraId="49A730E0" w14:textId="3A3BA2D9" w:rsidR="007D573F" w:rsidRPr="00A74F95" w:rsidRDefault="007D573F" w:rsidP="00A74F95">
            <w:pPr>
              <w:pStyle w:val="Body1"/>
              <w:spacing w:after="0"/>
              <w:jc w:val="left"/>
              <w:rPr>
                <w:rStyle w:val="Hyperlink"/>
                <w:rFonts w:asciiTheme="minorHAnsi" w:hAnsiTheme="minorHAnsi" w:cstheme="majorHAnsi"/>
                <w:color w:val="auto"/>
                <w:sz w:val="22"/>
                <w:szCs w:val="22"/>
                <w:u w:val="none"/>
              </w:rPr>
            </w:pPr>
            <w:hyperlink r:id="rId22" w:history="1">
              <w:r w:rsidRPr="009A5CA0">
                <w:rPr>
                  <w:rStyle w:val="Hyperlink"/>
                  <w:rFonts w:asciiTheme="minorHAnsi" w:hAnsiTheme="minorHAnsi" w:cstheme="majorHAnsi"/>
                  <w:sz w:val="22"/>
                  <w:szCs w:val="22"/>
                </w:rPr>
                <w:t>Public law for Everyone blog on the Bill of Rights Bill</w:t>
              </w:r>
            </w:hyperlink>
          </w:p>
          <w:p w14:paraId="1CE32FD5" w14:textId="77777777" w:rsidR="00A74F95" w:rsidRPr="007D573F" w:rsidRDefault="00A74F95" w:rsidP="00A74F95">
            <w:pPr>
              <w:pStyle w:val="Body1"/>
              <w:spacing w:after="0"/>
              <w:ind w:left="1077"/>
              <w:jc w:val="left"/>
              <w:rPr>
                <w:rStyle w:val="Hyperlink"/>
                <w:rFonts w:asciiTheme="minorHAnsi" w:hAnsiTheme="minorHAnsi" w:cstheme="majorHAnsi"/>
                <w:color w:val="auto"/>
                <w:sz w:val="22"/>
                <w:szCs w:val="22"/>
                <w:u w:val="none"/>
              </w:rPr>
            </w:pPr>
          </w:p>
          <w:p w14:paraId="02CF4BA2" w14:textId="754F356B" w:rsidR="007D573F" w:rsidRPr="007D573F" w:rsidRDefault="007D573F" w:rsidP="00A74F95">
            <w:pPr>
              <w:pStyle w:val="Body1"/>
              <w:spacing w:after="0"/>
              <w:jc w:val="left"/>
              <w:rPr>
                <w:rStyle w:val="Hyperlink"/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ajorHAnsi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Theme="minorHAnsi" w:hAnsiTheme="minorHAnsi" w:cstheme="majorHAnsi"/>
                <w:sz w:val="22"/>
                <w:szCs w:val="22"/>
              </w:rPr>
              <w:instrText xml:space="preserve"> HYPERLINK "https://committees.parliament.uk/publications/33649/documents/183913/default/" </w:instrText>
            </w:r>
            <w:r>
              <w:rPr>
                <w:rStyle w:val="Hyperlink"/>
                <w:rFonts w:asciiTheme="minorHAnsi" w:hAnsiTheme="minorHAnsi" w:cstheme="majorHAnsi"/>
                <w:sz w:val="22"/>
                <w:szCs w:val="22"/>
              </w:rPr>
            </w:r>
            <w:r>
              <w:rPr>
                <w:rStyle w:val="Hyperlink"/>
                <w:rFonts w:asciiTheme="minorHAnsi" w:hAnsiTheme="minorHAnsi" w:cstheme="majorHAnsi"/>
                <w:sz w:val="22"/>
                <w:szCs w:val="22"/>
              </w:rPr>
              <w:fldChar w:fldCharType="separate"/>
            </w:r>
            <w:r w:rsidRPr="007D573F">
              <w:rPr>
                <w:rStyle w:val="Hyperlink"/>
                <w:rFonts w:asciiTheme="minorHAnsi" w:hAnsiTheme="minorHAnsi" w:cstheme="majorHAnsi"/>
                <w:sz w:val="22"/>
                <w:szCs w:val="22"/>
              </w:rPr>
              <w:t>Legislative scrutiny b</w:t>
            </w:r>
            <w:r w:rsidRPr="007D573F">
              <w:rPr>
                <w:rStyle w:val="Hyperlink"/>
                <w:rFonts w:asciiTheme="minorHAnsi" w:hAnsiTheme="minorHAnsi" w:cstheme="majorHAnsi"/>
                <w:sz w:val="22"/>
                <w:szCs w:val="22"/>
              </w:rPr>
              <w:t>y</w:t>
            </w:r>
            <w:r w:rsidRPr="007D573F">
              <w:rPr>
                <w:rStyle w:val="Hyperlink"/>
                <w:rFonts w:asciiTheme="minorHAnsi" w:hAnsiTheme="minorHAnsi" w:cstheme="majorHAnsi"/>
                <w:sz w:val="22"/>
                <w:szCs w:val="22"/>
              </w:rPr>
              <w:t xml:space="preserve"> JCHR</w:t>
            </w:r>
          </w:p>
          <w:p w14:paraId="2E0ADAFE" w14:textId="6B8E2F52" w:rsidR="007D573F" w:rsidRPr="001872F8" w:rsidRDefault="007D573F" w:rsidP="007D573F">
            <w:pPr>
              <w:pStyle w:val="Body1"/>
              <w:spacing w:after="0"/>
              <w:ind w:left="1077"/>
              <w:jc w:val="left"/>
              <w:rPr>
                <w:rStyle w:val="Hyperlink"/>
                <w:rFonts w:asciiTheme="minorHAnsi" w:hAnsiTheme="minorHAnsi" w:cstheme="maj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ajorHAnsi"/>
                <w:sz w:val="22"/>
                <w:szCs w:val="22"/>
              </w:rPr>
              <w:fldChar w:fldCharType="end"/>
            </w:r>
          </w:p>
          <w:p w14:paraId="013EC9BA" w14:textId="0337FD81" w:rsidR="007D573F" w:rsidRPr="007D573F" w:rsidRDefault="007D573F" w:rsidP="00A74F95">
            <w:pPr>
              <w:pStyle w:val="Body1"/>
              <w:jc w:val="left"/>
              <w:rPr>
                <w:rFonts w:asciiTheme="minorHAnsi" w:hAnsiTheme="minorHAnsi" w:cstheme="majorHAnsi"/>
                <w:sz w:val="22"/>
                <w:szCs w:val="22"/>
              </w:rPr>
            </w:pPr>
            <w:hyperlink r:id="rId23" w:history="1">
              <w:r w:rsidRPr="001872F8">
                <w:rPr>
                  <w:rStyle w:val="Hyperlink"/>
                  <w:rFonts w:asciiTheme="minorHAnsi" w:hAnsiTheme="minorHAnsi" w:cstheme="majorHAnsi"/>
                  <w:sz w:val="22"/>
                  <w:szCs w:val="22"/>
                </w:rPr>
                <w:t>Government respo</w:t>
              </w:r>
              <w:r w:rsidRPr="001872F8">
                <w:rPr>
                  <w:rStyle w:val="Hyperlink"/>
                  <w:rFonts w:asciiTheme="minorHAnsi" w:hAnsiTheme="minorHAnsi" w:cstheme="majorHAnsi"/>
                  <w:sz w:val="22"/>
                  <w:szCs w:val="22"/>
                </w:rPr>
                <w:t>n</w:t>
              </w:r>
              <w:r w:rsidRPr="001872F8">
                <w:rPr>
                  <w:rStyle w:val="Hyperlink"/>
                  <w:rFonts w:asciiTheme="minorHAnsi" w:hAnsiTheme="minorHAnsi" w:cstheme="majorHAnsi"/>
                  <w:sz w:val="22"/>
                  <w:szCs w:val="22"/>
                </w:rPr>
                <w:t>se to the Joint Committee on Human Rights: ‘Legislative Scrutiny’ on the Bill of Ri</w:t>
              </w:r>
              <w:r w:rsidRPr="001872F8">
                <w:rPr>
                  <w:rStyle w:val="Hyperlink"/>
                  <w:rFonts w:asciiTheme="minorHAnsi" w:hAnsiTheme="minorHAnsi" w:cstheme="majorHAnsi"/>
                  <w:sz w:val="22"/>
                  <w:szCs w:val="22"/>
                </w:rPr>
                <w:t>g</w:t>
              </w:r>
              <w:r w:rsidRPr="001872F8">
                <w:rPr>
                  <w:rStyle w:val="Hyperlink"/>
                  <w:rFonts w:asciiTheme="minorHAnsi" w:hAnsiTheme="minorHAnsi" w:cstheme="majorHAnsi"/>
                  <w:sz w:val="22"/>
                  <w:szCs w:val="22"/>
                </w:rPr>
                <w:t>hts Bill</w:t>
              </w:r>
            </w:hyperlink>
          </w:p>
        </w:tc>
      </w:tr>
    </w:tbl>
    <w:p w14:paraId="403DF5B4" w14:textId="77777777" w:rsidR="007E38D4" w:rsidRPr="009A5CA0" w:rsidRDefault="007E38D4" w:rsidP="007E38D4">
      <w:pPr>
        <w:pStyle w:val="Body1"/>
        <w:rPr>
          <w:rFonts w:asciiTheme="majorHAnsi" w:hAnsiTheme="majorHAnsi" w:cstheme="majorHAnsi"/>
          <w:sz w:val="22"/>
          <w:szCs w:val="22"/>
        </w:rPr>
      </w:pPr>
    </w:p>
    <w:p w14:paraId="1C3426EE" w14:textId="77777777" w:rsidR="00CC079E" w:rsidRPr="009A5CA0" w:rsidRDefault="00CC079E" w:rsidP="00CC079E">
      <w:pPr>
        <w:pStyle w:val="Body1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CC079E" w:rsidRPr="009A5CA0" w:rsidSect="000E29E7">
      <w:headerReference w:type="default" r:id="rId24"/>
      <w:footerReference w:type="default" r:id="rId25"/>
      <w:footerReference w:type="first" r:id="rId26"/>
      <w:pgSz w:w="11907" w:h="16840" w:code="9"/>
      <w:pgMar w:top="992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A1E9" w14:textId="77777777" w:rsidR="00E765C3" w:rsidRDefault="00E765C3">
      <w:r>
        <w:separator/>
      </w:r>
    </w:p>
  </w:endnote>
  <w:endnote w:type="continuationSeparator" w:id="0">
    <w:p w14:paraId="28BC822B" w14:textId="77777777" w:rsidR="00E765C3" w:rsidRDefault="00E7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97D4" w14:textId="77777777" w:rsidR="00F903F3" w:rsidRDefault="00F903F3" w:rsidP="00325E49">
    <w:pPr>
      <w:pStyle w:val="Footer"/>
    </w:pPr>
  </w:p>
  <w:p w14:paraId="5D59622D" w14:textId="77777777" w:rsidR="00F903F3" w:rsidRDefault="00B173AC" w:rsidP="00325E49">
    <w:pPr>
      <w:pStyle w:val="Footer"/>
    </w:pPr>
    <w:sdt>
      <w:sdtPr>
        <w:alias w:val="DocID"/>
        <w:tag w:val="DocID"/>
        <w:id w:val="1506560089"/>
        <w:text/>
      </w:sdtPr>
      <w:sdtEndPr/>
      <w:sdtContent>
        <w:r w:rsidR="00F903F3">
          <w:t xml:space="preserve">     </w:t>
        </w:r>
      </w:sdtContent>
    </w:sdt>
    <w:r w:rsidR="00F903F3">
      <w:tab/>
    </w:r>
    <w:r w:rsidR="00F903F3">
      <w:tab/>
    </w:r>
    <w:sdt>
      <w:sdtPr>
        <w:alias w:val="Firm name"/>
        <w:tag w:val="FirmName"/>
        <w:id w:val="-448084639"/>
        <w:showingPlcHdr/>
        <w:text/>
      </w:sdtPr>
      <w:sdtEndPr/>
      <w:sdtContent/>
    </w:sdt>
  </w:p>
  <w:p w14:paraId="49184119" w14:textId="77777777" w:rsidR="00F903F3" w:rsidRDefault="00F90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B4CE" w14:textId="77777777" w:rsidR="00F903F3" w:rsidRDefault="00F903F3" w:rsidP="00C46C82">
    <w:pPr>
      <w:pStyle w:val="Footer"/>
    </w:pPr>
  </w:p>
  <w:p w14:paraId="58BE0EE3" w14:textId="77777777" w:rsidR="00F903F3" w:rsidRDefault="00B173AC" w:rsidP="00C46C82">
    <w:pPr>
      <w:pStyle w:val="Footer"/>
    </w:pPr>
    <w:sdt>
      <w:sdtPr>
        <w:alias w:val="DocID"/>
        <w:tag w:val="DocID"/>
        <w:id w:val="-1417707420"/>
        <w:text/>
      </w:sdtPr>
      <w:sdtEndPr/>
      <w:sdtContent>
        <w:r w:rsidR="00F903F3">
          <w:t xml:space="preserve">     </w:t>
        </w:r>
      </w:sdtContent>
    </w:sdt>
    <w:r w:rsidR="00F903F3">
      <w:tab/>
    </w:r>
    <w:r w:rsidR="00F903F3">
      <w:tab/>
    </w:r>
    <w:sdt>
      <w:sdtPr>
        <w:alias w:val="Firm name"/>
        <w:tag w:val="FirmName"/>
        <w:id w:val="-565877776"/>
        <w:showingPlcHdr/>
        <w:text/>
      </w:sdtPr>
      <w:sdtEndPr/>
      <w:sdtContent/>
    </w:sdt>
  </w:p>
  <w:p w14:paraId="0E4E0252" w14:textId="77777777" w:rsidR="00F903F3" w:rsidRDefault="00F90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486B" w14:textId="77777777" w:rsidR="00E765C3" w:rsidRPr="00586325" w:rsidRDefault="00E765C3" w:rsidP="00586325">
      <w:pPr>
        <w:pStyle w:val="Footer"/>
      </w:pPr>
      <w:r>
        <w:continuationSeparator/>
      </w:r>
    </w:p>
  </w:footnote>
  <w:footnote w:type="continuationSeparator" w:id="0">
    <w:p w14:paraId="31CEF7EC" w14:textId="77777777" w:rsidR="00E765C3" w:rsidRDefault="00E765C3" w:rsidP="00586325">
      <w:pPr>
        <w:pStyle w:val="Footer"/>
      </w:pPr>
      <w:r>
        <w:continuationSeparator/>
      </w:r>
    </w:p>
  </w:footnote>
  <w:footnote w:id="1">
    <w:p w14:paraId="01026A1F" w14:textId="77777777" w:rsidR="00513230" w:rsidRPr="00A74F95" w:rsidRDefault="00513230" w:rsidP="00513230">
      <w:pPr>
        <w:pStyle w:val="FootnoteText"/>
        <w:rPr>
          <w:rFonts w:asciiTheme="minorHAnsi" w:hAnsiTheme="minorHAnsi"/>
        </w:rPr>
      </w:pPr>
      <w:r w:rsidRPr="00A74F95">
        <w:rPr>
          <w:rStyle w:val="FootnoteReference"/>
          <w:rFonts w:asciiTheme="minorHAnsi" w:hAnsiTheme="minorHAnsi"/>
        </w:rPr>
        <w:footnoteRef/>
      </w:r>
      <w:r w:rsidRPr="00A74F95">
        <w:rPr>
          <w:rFonts w:asciiTheme="minorHAnsi" w:hAnsiTheme="minorHAnsi"/>
        </w:rPr>
        <w:t xml:space="preserve"> </w:t>
      </w:r>
      <w:r w:rsidRPr="00A74F95">
        <w:rPr>
          <w:rFonts w:asciiTheme="minorHAnsi" w:hAnsiTheme="minorHAnsi"/>
        </w:rPr>
        <w:tab/>
        <w:t>These refer to applications for which the Court has received a correctly completed form and copies of relevant documents.</w:t>
      </w:r>
    </w:p>
  </w:footnote>
  <w:footnote w:id="2">
    <w:p w14:paraId="5650FE08" w14:textId="7EB2AB63" w:rsidR="00513230" w:rsidRPr="002C51DD" w:rsidRDefault="00513230" w:rsidP="00513230">
      <w:pPr>
        <w:pStyle w:val="FootnoteText"/>
        <w:rPr>
          <w:rFonts w:asciiTheme="majorHAnsi" w:hAnsiTheme="majorHAnsi" w:cstheme="majorHAnsi"/>
        </w:rPr>
      </w:pPr>
      <w:r w:rsidRPr="00A74F95">
        <w:rPr>
          <w:rStyle w:val="FootnoteReference"/>
          <w:rFonts w:asciiTheme="minorHAnsi" w:hAnsiTheme="minorHAnsi" w:cstheme="majorHAnsi"/>
        </w:rPr>
        <w:footnoteRef/>
      </w:r>
      <w:r w:rsidRPr="00A74F95">
        <w:rPr>
          <w:rFonts w:asciiTheme="minorHAnsi" w:hAnsiTheme="minorHAnsi" w:cstheme="majorHAnsi"/>
        </w:rPr>
        <w:t xml:space="preserve"> </w:t>
      </w:r>
      <w:r w:rsidRPr="00A74F95">
        <w:rPr>
          <w:rFonts w:asciiTheme="minorHAnsi" w:hAnsiTheme="minorHAnsi" w:cstheme="majorHAnsi"/>
        </w:rPr>
        <w:tab/>
        <w:t>These refer to applications for which the Court has received a correctly completed form and copies of relevant documents.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13B9" w14:textId="77777777" w:rsidR="00AF4E83" w:rsidRDefault="00AF4E83" w:rsidP="008660CB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14:paraId="42768F7A" w14:textId="77777777" w:rsidR="00AF4E83" w:rsidRDefault="00AF4E83" w:rsidP="008660CB">
    <w:pPr>
      <w:pStyle w:val="Header"/>
      <w:jc w:val="left"/>
    </w:pPr>
  </w:p>
  <w:p w14:paraId="596B0B0B" w14:textId="77777777" w:rsidR="00AF4E83" w:rsidRDefault="00AF4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E63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41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681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3E1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8A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227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9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A0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FAD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14F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81888"/>
    <w:multiLevelType w:val="hybridMultilevel"/>
    <w:tmpl w:val="B10468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E74F7D"/>
    <w:multiLevelType w:val="multilevel"/>
    <w:tmpl w:val="2D708E7A"/>
    <w:name w:val="CustomListNum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Theme="majorHAnsi" w:hAnsiTheme="majorHAnsi" w:cstheme="majorHAnsi" w:hint="default"/>
        <w:b/>
        <w:bCs/>
        <w:sz w:val="24"/>
        <w:szCs w:val="24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3B5547"/>
    <w:multiLevelType w:val="hybridMultilevel"/>
    <w:tmpl w:val="A888E40E"/>
    <w:lvl w:ilvl="0" w:tplc="3050F75C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98034E"/>
    <w:multiLevelType w:val="hybridMultilevel"/>
    <w:tmpl w:val="B78E76CA"/>
    <w:lvl w:ilvl="0" w:tplc="ED349F5A">
      <w:start w:val="1"/>
      <w:numFmt w:val="decimal"/>
      <w:pStyle w:val="TOC4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4" w15:restartNumberingAfterBreak="0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0D77670"/>
    <w:multiLevelType w:val="hybridMultilevel"/>
    <w:tmpl w:val="25545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4110E"/>
    <w:multiLevelType w:val="hybridMultilevel"/>
    <w:tmpl w:val="19A645CA"/>
    <w:lvl w:ilvl="0" w:tplc="0492BB1E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8" w15:restartNumberingAfterBreak="0">
    <w:nsid w:val="355C5091"/>
    <w:multiLevelType w:val="multilevel"/>
    <w:tmpl w:val="0409001D"/>
    <w:name w:val="lis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9733166"/>
    <w:multiLevelType w:val="hybridMultilevel"/>
    <w:tmpl w:val="3C865FF6"/>
    <w:lvl w:ilvl="0" w:tplc="DAC69E5A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8447B"/>
    <w:multiLevelType w:val="hybridMultilevel"/>
    <w:tmpl w:val="346C8C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67734"/>
    <w:multiLevelType w:val="hybridMultilevel"/>
    <w:tmpl w:val="D17AD92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FE2F0B"/>
    <w:multiLevelType w:val="hybridMultilevel"/>
    <w:tmpl w:val="F4AC30A2"/>
    <w:lvl w:ilvl="0" w:tplc="AA3092CA">
      <w:start w:val="19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772A6"/>
    <w:multiLevelType w:val="hybridMultilevel"/>
    <w:tmpl w:val="D56E6B1A"/>
    <w:lvl w:ilvl="0" w:tplc="32C28D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74163"/>
    <w:multiLevelType w:val="hybridMultilevel"/>
    <w:tmpl w:val="2BF0DD34"/>
    <w:lvl w:ilvl="0" w:tplc="927E9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621F9"/>
    <w:multiLevelType w:val="hybridMultilevel"/>
    <w:tmpl w:val="388A9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A7716"/>
    <w:multiLevelType w:val="hybridMultilevel"/>
    <w:tmpl w:val="7494C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567A6"/>
    <w:multiLevelType w:val="hybridMultilevel"/>
    <w:tmpl w:val="206C2D9E"/>
    <w:lvl w:ilvl="0" w:tplc="B4688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54105">
    <w:abstractNumId w:val="11"/>
  </w:num>
  <w:num w:numId="2" w16cid:durableId="1071074842">
    <w:abstractNumId w:val="14"/>
  </w:num>
  <w:num w:numId="3" w16cid:durableId="1460955060">
    <w:abstractNumId w:val="19"/>
  </w:num>
  <w:num w:numId="4" w16cid:durableId="879247905">
    <w:abstractNumId w:val="12"/>
  </w:num>
  <w:num w:numId="5" w16cid:durableId="426925700">
    <w:abstractNumId w:val="17"/>
  </w:num>
  <w:num w:numId="6" w16cid:durableId="1100296572">
    <w:abstractNumId w:val="9"/>
  </w:num>
  <w:num w:numId="7" w16cid:durableId="1708482766">
    <w:abstractNumId w:val="7"/>
  </w:num>
  <w:num w:numId="8" w16cid:durableId="867723959">
    <w:abstractNumId w:val="6"/>
  </w:num>
  <w:num w:numId="9" w16cid:durableId="687676622">
    <w:abstractNumId w:val="5"/>
  </w:num>
  <w:num w:numId="10" w16cid:durableId="1565066034">
    <w:abstractNumId w:val="4"/>
  </w:num>
  <w:num w:numId="11" w16cid:durableId="1526601904">
    <w:abstractNumId w:val="8"/>
  </w:num>
  <w:num w:numId="12" w16cid:durableId="1419981438">
    <w:abstractNumId w:val="3"/>
  </w:num>
  <w:num w:numId="13" w16cid:durableId="1517840608">
    <w:abstractNumId w:val="2"/>
  </w:num>
  <w:num w:numId="14" w16cid:durableId="1728795811">
    <w:abstractNumId w:val="1"/>
  </w:num>
  <w:num w:numId="15" w16cid:durableId="1281840068">
    <w:abstractNumId w:val="0"/>
  </w:num>
  <w:num w:numId="16" w16cid:durableId="492457108">
    <w:abstractNumId w:val="13"/>
  </w:num>
  <w:num w:numId="17" w16cid:durableId="924342072">
    <w:abstractNumId w:val="27"/>
  </w:num>
  <w:num w:numId="18" w16cid:durableId="964969229">
    <w:abstractNumId w:val="25"/>
  </w:num>
  <w:num w:numId="19" w16cid:durableId="1718042935">
    <w:abstractNumId w:val="24"/>
  </w:num>
  <w:num w:numId="20" w16cid:durableId="423460742">
    <w:abstractNumId w:val="23"/>
  </w:num>
  <w:num w:numId="21" w16cid:durableId="1974600233">
    <w:abstractNumId w:val="16"/>
  </w:num>
  <w:num w:numId="22" w16cid:durableId="1158496091">
    <w:abstractNumId w:val="22"/>
  </w:num>
  <w:num w:numId="23" w16cid:durableId="1849363928">
    <w:abstractNumId w:val="20"/>
  </w:num>
  <w:num w:numId="24" w16cid:durableId="1691955060">
    <w:abstractNumId w:val="21"/>
  </w:num>
  <w:num w:numId="25" w16cid:durableId="791632816">
    <w:abstractNumId w:val="15"/>
  </w:num>
  <w:num w:numId="26" w16cid:durableId="1208906424">
    <w:abstractNumId w:val="10"/>
  </w:num>
  <w:num w:numId="27" w16cid:durableId="135682243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85"/>
    <w:rsid w:val="00001EFF"/>
    <w:rsid w:val="00002F65"/>
    <w:rsid w:val="000174DD"/>
    <w:rsid w:val="00040E28"/>
    <w:rsid w:val="00041450"/>
    <w:rsid w:val="0004544B"/>
    <w:rsid w:val="00071E3B"/>
    <w:rsid w:val="000836BA"/>
    <w:rsid w:val="00083E24"/>
    <w:rsid w:val="000903CA"/>
    <w:rsid w:val="000914FF"/>
    <w:rsid w:val="00091813"/>
    <w:rsid w:val="00093909"/>
    <w:rsid w:val="0009404F"/>
    <w:rsid w:val="000A6825"/>
    <w:rsid w:val="000A7590"/>
    <w:rsid w:val="000C1974"/>
    <w:rsid w:val="000C3424"/>
    <w:rsid w:val="000D77B5"/>
    <w:rsid w:val="000D7A8E"/>
    <w:rsid w:val="000E29E7"/>
    <w:rsid w:val="000E4D60"/>
    <w:rsid w:val="00101A53"/>
    <w:rsid w:val="0011634C"/>
    <w:rsid w:val="001213C6"/>
    <w:rsid w:val="00134AE3"/>
    <w:rsid w:val="00164A05"/>
    <w:rsid w:val="001872F8"/>
    <w:rsid w:val="001913C1"/>
    <w:rsid w:val="001B4F9F"/>
    <w:rsid w:val="001C3695"/>
    <w:rsid w:val="001C3A13"/>
    <w:rsid w:val="001E1521"/>
    <w:rsid w:val="00225252"/>
    <w:rsid w:val="0024294C"/>
    <w:rsid w:val="002478EF"/>
    <w:rsid w:val="00247E76"/>
    <w:rsid w:val="0025196A"/>
    <w:rsid w:val="00256314"/>
    <w:rsid w:val="0027059F"/>
    <w:rsid w:val="00284B7B"/>
    <w:rsid w:val="00284EA4"/>
    <w:rsid w:val="002907DD"/>
    <w:rsid w:val="00296DBD"/>
    <w:rsid w:val="002C0B79"/>
    <w:rsid w:val="002C51DD"/>
    <w:rsid w:val="002C6598"/>
    <w:rsid w:val="002D01D7"/>
    <w:rsid w:val="002D6180"/>
    <w:rsid w:val="00305386"/>
    <w:rsid w:val="00325E49"/>
    <w:rsid w:val="00354458"/>
    <w:rsid w:val="00362D12"/>
    <w:rsid w:val="003C4058"/>
    <w:rsid w:val="003C4640"/>
    <w:rsid w:val="003D19AA"/>
    <w:rsid w:val="003D599E"/>
    <w:rsid w:val="003E4347"/>
    <w:rsid w:val="004318BF"/>
    <w:rsid w:val="00436B0E"/>
    <w:rsid w:val="00443C4F"/>
    <w:rsid w:val="00460539"/>
    <w:rsid w:val="00474065"/>
    <w:rsid w:val="00486920"/>
    <w:rsid w:val="004A6740"/>
    <w:rsid w:val="004B05D7"/>
    <w:rsid w:val="005045A9"/>
    <w:rsid w:val="00510B13"/>
    <w:rsid w:val="00513230"/>
    <w:rsid w:val="00521D74"/>
    <w:rsid w:val="005427ED"/>
    <w:rsid w:val="00547D7B"/>
    <w:rsid w:val="00553A72"/>
    <w:rsid w:val="00563D29"/>
    <w:rsid w:val="00586325"/>
    <w:rsid w:val="0059514D"/>
    <w:rsid w:val="005A20CF"/>
    <w:rsid w:val="005A2820"/>
    <w:rsid w:val="005C58DF"/>
    <w:rsid w:val="005C6E4A"/>
    <w:rsid w:val="005D7A96"/>
    <w:rsid w:val="005F30A9"/>
    <w:rsid w:val="0060434B"/>
    <w:rsid w:val="00611F80"/>
    <w:rsid w:val="00615756"/>
    <w:rsid w:val="00631605"/>
    <w:rsid w:val="0063519A"/>
    <w:rsid w:val="00637CE7"/>
    <w:rsid w:val="00641981"/>
    <w:rsid w:val="00664EC6"/>
    <w:rsid w:val="00665A5B"/>
    <w:rsid w:val="00671861"/>
    <w:rsid w:val="006B61AE"/>
    <w:rsid w:val="006C19C6"/>
    <w:rsid w:val="006E1EA1"/>
    <w:rsid w:val="006F548C"/>
    <w:rsid w:val="00790859"/>
    <w:rsid w:val="007B159D"/>
    <w:rsid w:val="007C03F7"/>
    <w:rsid w:val="007D10E8"/>
    <w:rsid w:val="007D1526"/>
    <w:rsid w:val="007D4683"/>
    <w:rsid w:val="007D573F"/>
    <w:rsid w:val="007E38D4"/>
    <w:rsid w:val="007E5FE5"/>
    <w:rsid w:val="007F7F66"/>
    <w:rsid w:val="00806E36"/>
    <w:rsid w:val="00822317"/>
    <w:rsid w:val="00826150"/>
    <w:rsid w:val="00827C11"/>
    <w:rsid w:val="00827FF9"/>
    <w:rsid w:val="008305D6"/>
    <w:rsid w:val="00847CAC"/>
    <w:rsid w:val="00866FF7"/>
    <w:rsid w:val="00876524"/>
    <w:rsid w:val="008839A0"/>
    <w:rsid w:val="008B2806"/>
    <w:rsid w:val="008C15DB"/>
    <w:rsid w:val="008C77D5"/>
    <w:rsid w:val="0090106D"/>
    <w:rsid w:val="00911B48"/>
    <w:rsid w:val="009249C2"/>
    <w:rsid w:val="0095152E"/>
    <w:rsid w:val="009515B0"/>
    <w:rsid w:val="00957028"/>
    <w:rsid w:val="00966A7F"/>
    <w:rsid w:val="009A1F3C"/>
    <w:rsid w:val="009A5CA0"/>
    <w:rsid w:val="009B2F07"/>
    <w:rsid w:val="009B7FC4"/>
    <w:rsid w:val="009D145A"/>
    <w:rsid w:val="009D24F1"/>
    <w:rsid w:val="009E5624"/>
    <w:rsid w:val="009F3AA9"/>
    <w:rsid w:val="009F407B"/>
    <w:rsid w:val="009F5E0D"/>
    <w:rsid w:val="00A11298"/>
    <w:rsid w:val="00A23128"/>
    <w:rsid w:val="00A47C60"/>
    <w:rsid w:val="00A54CED"/>
    <w:rsid w:val="00A747FE"/>
    <w:rsid w:val="00A74F95"/>
    <w:rsid w:val="00AA422A"/>
    <w:rsid w:val="00AB2485"/>
    <w:rsid w:val="00AB2BC5"/>
    <w:rsid w:val="00AC67C2"/>
    <w:rsid w:val="00AD2466"/>
    <w:rsid w:val="00AE6229"/>
    <w:rsid w:val="00AF2F6C"/>
    <w:rsid w:val="00AF4E83"/>
    <w:rsid w:val="00B03A4B"/>
    <w:rsid w:val="00B173AC"/>
    <w:rsid w:val="00B4526C"/>
    <w:rsid w:val="00B57563"/>
    <w:rsid w:val="00B72803"/>
    <w:rsid w:val="00B8026E"/>
    <w:rsid w:val="00BB52F3"/>
    <w:rsid w:val="00BC71E1"/>
    <w:rsid w:val="00BE7F58"/>
    <w:rsid w:val="00BF6223"/>
    <w:rsid w:val="00C05BB4"/>
    <w:rsid w:val="00C10D16"/>
    <w:rsid w:val="00C1247B"/>
    <w:rsid w:val="00C25254"/>
    <w:rsid w:val="00C266C0"/>
    <w:rsid w:val="00C372A1"/>
    <w:rsid w:val="00C40C31"/>
    <w:rsid w:val="00C43E27"/>
    <w:rsid w:val="00C77C6E"/>
    <w:rsid w:val="00C8006E"/>
    <w:rsid w:val="00C958F2"/>
    <w:rsid w:val="00C96286"/>
    <w:rsid w:val="00CC079E"/>
    <w:rsid w:val="00CC10E7"/>
    <w:rsid w:val="00CD1BF3"/>
    <w:rsid w:val="00CD3C44"/>
    <w:rsid w:val="00CE2D50"/>
    <w:rsid w:val="00CE7735"/>
    <w:rsid w:val="00D03D1D"/>
    <w:rsid w:val="00D2538C"/>
    <w:rsid w:val="00D25E01"/>
    <w:rsid w:val="00D304E8"/>
    <w:rsid w:val="00D310C4"/>
    <w:rsid w:val="00D67411"/>
    <w:rsid w:val="00DB4683"/>
    <w:rsid w:val="00DB5F33"/>
    <w:rsid w:val="00DB60B0"/>
    <w:rsid w:val="00DC11C1"/>
    <w:rsid w:val="00DC7AE8"/>
    <w:rsid w:val="00DE129D"/>
    <w:rsid w:val="00DE3288"/>
    <w:rsid w:val="00DE3A4D"/>
    <w:rsid w:val="00DF0E09"/>
    <w:rsid w:val="00E3685B"/>
    <w:rsid w:val="00E45680"/>
    <w:rsid w:val="00E61F2A"/>
    <w:rsid w:val="00E765C3"/>
    <w:rsid w:val="00E87571"/>
    <w:rsid w:val="00E9015E"/>
    <w:rsid w:val="00EB06F3"/>
    <w:rsid w:val="00ED08A9"/>
    <w:rsid w:val="00EE1EC5"/>
    <w:rsid w:val="00EE5E05"/>
    <w:rsid w:val="00F164AB"/>
    <w:rsid w:val="00F41E0E"/>
    <w:rsid w:val="00F70CE8"/>
    <w:rsid w:val="00F7486E"/>
    <w:rsid w:val="00F75BC7"/>
    <w:rsid w:val="00F82CC8"/>
    <w:rsid w:val="00F839CF"/>
    <w:rsid w:val="00F903F3"/>
    <w:rsid w:val="00F95754"/>
    <w:rsid w:val="00FB2B42"/>
    <w:rsid w:val="00FC3332"/>
    <w:rsid w:val="00FC4900"/>
    <w:rsid w:val="00FD4ABE"/>
    <w:rsid w:val="00FE1786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817675"/>
  <w15:docId w15:val="{9D3E8290-42F8-4B3B-A097-54342D0A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1"/>
        <w:szCs w:val="21"/>
        <w:lang w:val="en-GB" w:eastAsia="en-GB" w:bidi="ar-SA"/>
      </w:rPr>
    </w:rPrDefault>
    <w:pPrDefault>
      <w:pPr>
        <w:spacing w:line="264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" w:uiPriority="29"/>
    <w:lsdException w:name="List Bullet" w:semiHidden="1" w:uiPriority="29" w:unhideWhenUsed="1"/>
    <w:lsdException w:name="List Number" w:semiHidden="1" w:uiPriority="29" w:unhideWhenUsed="1"/>
    <w:lsdException w:name="List 2" w:semiHidden="1" w:uiPriority="29" w:unhideWhenUsed="1"/>
    <w:lsdException w:name="List 3" w:semiHidden="1" w:uiPriority="29" w:unhideWhenUsed="1"/>
    <w:lsdException w:name="List 4" w:semiHidden="1" w:uiPriority="29" w:unhideWhenUsed="1"/>
    <w:lsdException w:name="List 5" w:semiHidden="1" w:uiPriority="29" w:unhideWhenUsed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29" w:unhideWhenUsed="1"/>
    <w:lsdException w:name="List Number 4" w:semiHidden="1" w:uiPriority="29" w:unhideWhenUsed="1"/>
    <w:lsdException w:name="List Number 5" w:semiHidden="1" w:uiPriority="2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29"/>
    <w:lsdException w:name="List Continue 2" w:uiPriority="29"/>
    <w:lsdException w:name="List Continue 3" w:uiPriority="29"/>
    <w:lsdException w:name="List Continue 4" w:uiPriority="29"/>
    <w:lsdException w:name="List Continue 5" w:semiHidden="1" w:uiPriority="29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33"/>
    <w:lsdException w:name="Document Map" w:semiHidden="1" w:unhideWhenUsed="1"/>
    <w:lsdException w:name="Plain Text" w:semiHidden="1" w:unhideWhenUsed="1"/>
    <w:lsdException w:name="E-mail Signature" w:semiHidden="1" w:uiPriority="17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9" w:unhideWhenUsed="1"/>
    <w:lsdException w:name="HTML Address" w:semiHidden="1" w:uiPriority="29" w:unhideWhenUsed="1"/>
    <w:lsdException w:name="HTML Cite" w:semiHidden="1" w:uiPriority="29" w:unhideWhenUsed="1"/>
    <w:lsdException w:name="HTML Code" w:semiHidden="1" w:uiPriority="29" w:unhideWhenUsed="1"/>
    <w:lsdException w:name="HTML Definition" w:semiHidden="1" w:uiPriority="29" w:unhideWhenUsed="1"/>
    <w:lsdException w:name="HTML Keyboard" w:semiHidden="1" w:uiPriority="29" w:unhideWhenUsed="1"/>
    <w:lsdException w:name="HTML Preformatted" w:semiHidden="1" w:uiPriority="29" w:unhideWhenUsed="1"/>
    <w:lsdException w:name="HTML Sample" w:semiHidden="1" w:uiPriority="29" w:unhideWhenUsed="1"/>
    <w:lsdException w:name="HTML Typewriter" w:semiHidden="1" w:uiPriority="29" w:unhideWhenUsed="1"/>
    <w:lsdException w:name="HTML Variable" w:semiHidden="1" w:uiPriority="29" w:unhideWhenUsed="1"/>
    <w:lsdException w:name="Normal Table" w:semiHidden="1" w:unhideWhenUsed="1"/>
    <w:lsdException w:name="annotation subject" w:semiHidden="1" w:uiPriority="17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semiHidden="1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34"/>
    <w:lsdException w:name="Intense Emphasis" w:semiHidden="1" w:uiPriority="59"/>
    <w:lsdException w:name="Subtle Reference" w:semiHidden="1" w:uiPriority="41" w:qFormat="1"/>
    <w:lsdException w:name="Intense Reference" w:semiHidden="1" w:uiPriority="59" w:qFormat="1"/>
    <w:lsdException w:name="Book Title" w:uiPriority="33"/>
    <w:lsdException w:name="Bibliography" w:semiHidden="1" w:uiPriority="4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sid w:val="005045A9"/>
    <w:rPr>
      <w:rFonts w:eastAsia="Arial Unicode MS"/>
    </w:rPr>
  </w:style>
  <w:style w:type="paragraph" w:styleId="Heading1">
    <w:name w:val="heading 1"/>
    <w:basedOn w:val="Level1"/>
    <w:next w:val="Body2"/>
    <w:link w:val="Heading1Char"/>
    <w:uiPriority w:val="4"/>
    <w:qFormat/>
    <w:rsid w:val="00002F65"/>
    <w:pPr>
      <w:keepNext/>
    </w:pPr>
    <w:rPr>
      <w:b/>
      <w:smallCaps/>
    </w:rPr>
  </w:style>
  <w:style w:type="paragraph" w:styleId="Heading2">
    <w:name w:val="heading 2"/>
    <w:basedOn w:val="Level2"/>
    <w:next w:val="Body2"/>
    <w:link w:val="Heading2Char"/>
    <w:uiPriority w:val="4"/>
    <w:qFormat/>
    <w:rsid w:val="00002F65"/>
    <w:pPr>
      <w:keepNext/>
    </w:pPr>
    <w:rPr>
      <w:b/>
    </w:rPr>
  </w:style>
  <w:style w:type="paragraph" w:styleId="Heading3">
    <w:name w:val="heading 3"/>
    <w:basedOn w:val="Level3"/>
    <w:next w:val="Body3"/>
    <w:link w:val="Heading3Char"/>
    <w:uiPriority w:val="4"/>
    <w:qFormat/>
    <w:rsid w:val="00002F65"/>
    <w:pPr>
      <w:keepNext/>
      <w:ind w:left="1418" w:hanging="709"/>
    </w:pPr>
    <w:rPr>
      <w:b/>
    </w:rPr>
  </w:style>
  <w:style w:type="paragraph" w:styleId="Heading4">
    <w:name w:val="heading 4"/>
    <w:basedOn w:val="Level4"/>
    <w:next w:val="Body4"/>
    <w:link w:val="Heading4Char"/>
    <w:uiPriority w:val="5"/>
    <w:semiHidden/>
    <w:qFormat/>
    <w:rsid w:val="00002F65"/>
    <w:pPr>
      <w:keepNext/>
      <w:numPr>
        <w:numId w:val="2"/>
      </w:numPr>
      <w:ind w:left="2127"/>
    </w:pPr>
    <w:rPr>
      <w:rFonts w:ascii="Arial Bold" w:hAnsi="Arial Bold"/>
      <w:b/>
    </w:rPr>
  </w:style>
  <w:style w:type="paragraph" w:styleId="Heading5">
    <w:name w:val="heading 5"/>
    <w:basedOn w:val="Normal"/>
    <w:next w:val="Normal"/>
    <w:link w:val="Heading5Char"/>
    <w:uiPriority w:val="5"/>
    <w:semiHidden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uiPriority w:val="16"/>
    <w:semiHidden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uiPriority w:val="16"/>
    <w:semiHidden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uiPriority w:val="16"/>
    <w:semiHidden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uiPriority w:val="16"/>
    <w:semiHidden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uiPriority w:val="17"/>
    <w:semiHidden/>
    <w:pPr>
      <w:spacing w:after="210"/>
    </w:pPr>
  </w:style>
  <w:style w:type="paragraph" w:customStyle="1" w:styleId="Body1">
    <w:name w:val="Body 1"/>
    <w:basedOn w:val="Body"/>
    <w:link w:val="Body1Char"/>
    <w:qFormat/>
  </w:style>
  <w:style w:type="paragraph" w:customStyle="1" w:styleId="Body2">
    <w:name w:val="Body 2"/>
    <w:basedOn w:val="Body1"/>
    <w:link w:val="Body2Char"/>
    <w:qFormat/>
    <w:pPr>
      <w:ind w:left="709"/>
    </w:pPr>
  </w:style>
  <w:style w:type="paragraph" w:customStyle="1" w:styleId="Body3">
    <w:name w:val="Body 3"/>
    <w:basedOn w:val="Body2"/>
    <w:link w:val="Body3Char"/>
    <w:qFormat/>
    <w:pPr>
      <w:ind w:left="1418"/>
    </w:pPr>
  </w:style>
  <w:style w:type="paragraph" w:customStyle="1" w:styleId="Body4">
    <w:name w:val="Body 4"/>
    <w:basedOn w:val="Body3"/>
    <w:link w:val="Body4Char"/>
    <w:qFormat/>
    <w:pPr>
      <w:ind w:left="2126"/>
    </w:pPr>
  </w:style>
  <w:style w:type="paragraph" w:customStyle="1" w:styleId="Body5">
    <w:name w:val="Body 5"/>
    <w:basedOn w:val="Body4"/>
    <w:link w:val="Body5Char"/>
    <w:qFormat/>
    <w:pPr>
      <w:ind w:left="2835"/>
    </w:pPr>
  </w:style>
  <w:style w:type="character" w:customStyle="1" w:styleId="BoldText">
    <w:name w:val="BoldText"/>
    <w:basedOn w:val="DefaultParagraphFont"/>
    <w:uiPriority w:val="15"/>
    <w:qFormat/>
    <w:rPr>
      <w:b/>
    </w:rPr>
  </w:style>
  <w:style w:type="paragraph" w:styleId="Footer">
    <w:name w:val="footer"/>
    <w:basedOn w:val="Normal"/>
    <w:link w:val="FooterChar"/>
    <w:uiPriority w:val="13"/>
    <w:unhideWhenUsed/>
    <w:pPr>
      <w:tabs>
        <w:tab w:val="center" w:pos="4536"/>
        <w:tab w:val="right" w:pos="9072"/>
      </w:tabs>
      <w:jc w:val="left"/>
    </w:pPr>
    <w:rPr>
      <w:sz w:val="16"/>
    </w:rPr>
  </w:style>
  <w:style w:type="character" w:styleId="FootnoteReference">
    <w:name w:val="footnote reference"/>
    <w:basedOn w:val="DefaultParagraphFont"/>
    <w:uiPriority w:val="17"/>
    <w:unhideWhenUsed/>
    <w:rPr>
      <w:vertAlign w:val="superscript"/>
    </w:rPr>
  </w:style>
  <w:style w:type="paragraph" w:styleId="FootnoteText">
    <w:name w:val="footnote text"/>
    <w:basedOn w:val="Normal"/>
    <w:uiPriority w:val="17"/>
    <w:unhideWhenUsed/>
    <w:pPr>
      <w:tabs>
        <w:tab w:val="left" w:pos="720"/>
      </w:tabs>
      <w:ind w:left="720" w:hanging="720"/>
    </w:pPr>
    <w:rPr>
      <w:sz w:val="16"/>
    </w:rPr>
  </w:style>
  <w:style w:type="paragraph" w:styleId="Header">
    <w:name w:val="header"/>
    <w:basedOn w:val="Normal"/>
    <w:link w:val="HeaderChar"/>
    <w:uiPriority w:val="13"/>
    <w:unhideWhenUsed/>
    <w:pPr>
      <w:tabs>
        <w:tab w:val="center" w:pos="4536"/>
        <w:tab w:val="right" w:pos="9072"/>
      </w:tabs>
    </w:pPr>
  </w:style>
  <w:style w:type="character" w:customStyle="1" w:styleId="Heading1Text">
    <w:name w:val="Heading 1 Text"/>
    <w:basedOn w:val="BoldText"/>
    <w:uiPriority w:val="14"/>
    <w:qFormat/>
    <w:rPr>
      <w:b/>
      <w:smallCaps/>
    </w:rPr>
  </w:style>
  <w:style w:type="character" w:customStyle="1" w:styleId="Heading2Text">
    <w:name w:val="Heading 2 Text"/>
    <w:basedOn w:val="BoldText"/>
    <w:uiPriority w:val="14"/>
    <w:semiHidden/>
    <w:rPr>
      <w:b/>
    </w:rPr>
  </w:style>
  <w:style w:type="character" w:customStyle="1" w:styleId="Heading3Text">
    <w:name w:val="Heading 3 Text"/>
    <w:basedOn w:val="Heading2Text"/>
    <w:uiPriority w:val="14"/>
    <w:semiHidden/>
    <w:rPr>
      <w:b/>
    </w:rPr>
  </w:style>
  <w:style w:type="character" w:customStyle="1" w:styleId="Heading4Text">
    <w:name w:val="Heading 4 Text"/>
    <w:basedOn w:val="Heading3Text"/>
    <w:uiPriority w:val="14"/>
    <w:semiHidden/>
    <w:rPr>
      <w:b/>
    </w:rPr>
  </w:style>
  <w:style w:type="paragraph" w:customStyle="1" w:styleId="Level1">
    <w:name w:val="Level 1"/>
    <w:basedOn w:val="Body1"/>
    <w:next w:val="Body2"/>
    <w:link w:val="Level1Char"/>
    <w:uiPriority w:val="6"/>
    <w:qFormat/>
    <w:pPr>
      <w:numPr>
        <w:numId w:val="1"/>
      </w:numPr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pPr>
      <w:numPr>
        <w:ilvl w:val="2"/>
        <w:numId w:val="1"/>
      </w:numPr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pPr>
      <w:numPr>
        <w:ilvl w:val="4"/>
        <w:numId w:val="1"/>
      </w:numPr>
      <w:outlineLvl w:val="4"/>
    </w:pPr>
  </w:style>
  <w:style w:type="paragraph" w:styleId="TOC1">
    <w:name w:val="toc 1"/>
    <w:basedOn w:val="Body"/>
    <w:uiPriority w:val="39"/>
    <w:semiHidden/>
    <w:rsid w:val="00CD1BF3"/>
    <w:pPr>
      <w:tabs>
        <w:tab w:val="left" w:pos="709"/>
        <w:tab w:val="right" w:pos="9072"/>
      </w:tabs>
      <w:spacing w:after="120"/>
      <w:ind w:left="709" w:right="425" w:hanging="709"/>
      <w:jc w:val="left"/>
    </w:pPr>
    <w:rPr>
      <w:b/>
      <w:smallCaps/>
    </w:rPr>
  </w:style>
  <w:style w:type="paragraph" w:styleId="TOC2">
    <w:name w:val="toc 2"/>
    <w:basedOn w:val="TOC1"/>
    <w:uiPriority w:val="39"/>
    <w:semiHidden/>
    <w:rsid w:val="00547D7B"/>
    <w:pPr>
      <w:tabs>
        <w:tab w:val="left" w:pos="1418"/>
      </w:tabs>
      <w:ind w:left="1418"/>
    </w:pPr>
    <w:rPr>
      <w:smallCaps w:val="0"/>
    </w:rPr>
  </w:style>
  <w:style w:type="paragraph" w:styleId="TOC3">
    <w:name w:val="toc 3"/>
    <w:basedOn w:val="TOC2"/>
    <w:uiPriority w:val="39"/>
    <w:semiHidden/>
    <w:rsid w:val="009B2F07"/>
    <w:pPr>
      <w:ind w:left="2127"/>
    </w:pPr>
  </w:style>
  <w:style w:type="paragraph" w:styleId="TOC4">
    <w:name w:val="toc 4"/>
    <w:basedOn w:val="Normal"/>
    <w:next w:val="Normal"/>
    <w:uiPriority w:val="39"/>
    <w:semiHidden/>
    <w:rsid w:val="008C77D5"/>
    <w:pPr>
      <w:numPr>
        <w:numId w:val="16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BlockText">
    <w:name w:val="Block Text"/>
    <w:basedOn w:val="Normal"/>
    <w:uiPriority w:val="17"/>
    <w:semiHidden/>
    <w:pPr>
      <w:spacing w:after="120"/>
      <w:ind w:left="1440" w:right="1440"/>
    </w:pPr>
  </w:style>
  <w:style w:type="paragraph" w:styleId="BodyText">
    <w:name w:val="Body Text"/>
    <w:basedOn w:val="Normal"/>
    <w:uiPriority w:val="17"/>
    <w:semiHidden/>
    <w:pPr>
      <w:spacing w:after="120"/>
    </w:pPr>
  </w:style>
  <w:style w:type="character" w:customStyle="1" w:styleId="BoldItalicText">
    <w:name w:val="BoldItalicText"/>
    <w:basedOn w:val="DefaultParagraphFont"/>
    <w:uiPriority w:val="17"/>
    <w:semiHidden/>
    <w:rPr>
      <w:b/>
      <w:i/>
    </w:rPr>
  </w:style>
  <w:style w:type="character" w:customStyle="1" w:styleId="ItalicText">
    <w:name w:val="ItalicText"/>
    <w:basedOn w:val="DefaultParagraphFont"/>
    <w:uiPriority w:val="15"/>
    <w:qFormat/>
    <w:rPr>
      <w:i/>
    </w:rPr>
  </w:style>
  <w:style w:type="character" w:customStyle="1" w:styleId="BoldUnderlinedText">
    <w:name w:val="BoldUnderlinedText"/>
    <w:basedOn w:val="DefaultParagraphFont"/>
    <w:uiPriority w:val="17"/>
    <w:semiHidden/>
    <w:rPr>
      <w:b/>
      <w:u w:val="single"/>
    </w:rPr>
  </w:style>
  <w:style w:type="character" w:customStyle="1" w:styleId="UnderlinedText">
    <w:name w:val="UnderlinedText"/>
    <w:basedOn w:val="DefaultParagraphFont"/>
    <w:uiPriority w:val="15"/>
    <w:rPr>
      <w:u w:val="single"/>
    </w:rPr>
  </w:style>
  <w:style w:type="paragraph" w:styleId="BodyText2">
    <w:name w:val="Body Text 2"/>
    <w:basedOn w:val="Normal"/>
    <w:uiPriority w:val="17"/>
    <w:semiHidden/>
    <w:pPr>
      <w:spacing w:after="120" w:line="480" w:lineRule="auto"/>
    </w:pPr>
  </w:style>
  <w:style w:type="paragraph" w:styleId="BodyText3">
    <w:name w:val="Body Text 3"/>
    <w:basedOn w:val="Normal"/>
    <w:uiPriority w:val="17"/>
    <w:semiHidden/>
    <w:pPr>
      <w:spacing w:after="120"/>
    </w:pPr>
    <w:rPr>
      <w:sz w:val="16"/>
    </w:rPr>
  </w:style>
  <w:style w:type="paragraph" w:styleId="BodyTextFirstIndent">
    <w:name w:val="Body Text First Indent"/>
    <w:basedOn w:val="BodyText"/>
    <w:uiPriority w:val="17"/>
    <w:semiHidden/>
    <w:pPr>
      <w:ind w:firstLine="210"/>
    </w:pPr>
  </w:style>
  <w:style w:type="paragraph" w:styleId="BodyTextIndent">
    <w:name w:val="Body Text Indent"/>
    <w:basedOn w:val="Normal"/>
    <w:uiPriority w:val="17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uiPriority w:val="17"/>
    <w:semiHidden/>
    <w:pPr>
      <w:ind w:firstLine="210"/>
    </w:pPr>
  </w:style>
  <w:style w:type="paragraph" w:styleId="BodyTextIndent2">
    <w:name w:val="Body Text Indent 2"/>
    <w:basedOn w:val="Normal"/>
    <w:uiPriority w:val="17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17"/>
    <w:semiHidden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uiPriority w:val="17"/>
    <w:unhideWhenUsed/>
    <w:pPr>
      <w:spacing w:before="120" w:after="120"/>
    </w:pPr>
    <w:rPr>
      <w:b/>
    </w:rPr>
  </w:style>
  <w:style w:type="paragraph" w:styleId="Closing">
    <w:name w:val="Closing"/>
    <w:basedOn w:val="Normal"/>
    <w:uiPriority w:val="17"/>
    <w:semiHidden/>
    <w:pPr>
      <w:ind w:left="4252"/>
    </w:pPr>
  </w:style>
  <w:style w:type="character" w:styleId="CommentReference">
    <w:name w:val="annotation reference"/>
    <w:basedOn w:val="DefaultParagraphFont"/>
    <w:uiPriority w:val="17"/>
    <w:semiHidden/>
    <w:rPr>
      <w:sz w:val="16"/>
    </w:rPr>
  </w:style>
  <w:style w:type="paragraph" w:styleId="CommentText">
    <w:name w:val="annotation text"/>
    <w:basedOn w:val="Normal"/>
    <w:link w:val="CommentTextChar"/>
    <w:uiPriority w:val="17"/>
    <w:semiHidden/>
    <w:rPr>
      <w:sz w:val="20"/>
    </w:rPr>
  </w:style>
  <w:style w:type="paragraph" w:styleId="Date">
    <w:name w:val="Date"/>
    <w:basedOn w:val="Normal"/>
    <w:next w:val="Normal"/>
    <w:uiPriority w:val="17"/>
    <w:semiHidden/>
  </w:style>
  <w:style w:type="paragraph" w:styleId="DocumentMap">
    <w:name w:val="Document Map"/>
    <w:basedOn w:val="Normal"/>
    <w:uiPriority w:val="17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uiPriority w:val="29"/>
    <w:semiHidden/>
    <w:rsid w:val="00E45680"/>
    <w:rPr>
      <w:b/>
      <w:i w:val="0"/>
    </w:rPr>
  </w:style>
  <w:style w:type="character" w:styleId="EndnoteReference">
    <w:name w:val="endnote reference"/>
    <w:basedOn w:val="DefaultParagraphFont"/>
    <w:uiPriority w:val="17"/>
    <w:semiHidden/>
    <w:rPr>
      <w:vertAlign w:val="superscript"/>
    </w:rPr>
  </w:style>
  <w:style w:type="paragraph" w:styleId="EndnoteText">
    <w:name w:val="endnote text"/>
    <w:basedOn w:val="Normal"/>
    <w:uiPriority w:val="17"/>
    <w:semiHidden/>
    <w:rPr>
      <w:sz w:val="20"/>
    </w:rPr>
  </w:style>
  <w:style w:type="paragraph" w:styleId="EnvelopeAddress">
    <w:name w:val="envelope address"/>
    <w:basedOn w:val="Normal"/>
    <w:uiPriority w:val="17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17"/>
    <w:semiHidden/>
    <w:rPr>
      <w:sz w:val="20"/>
    </w:rPr>
  </w:style>
  <w:style w:type="character" w:styleId="FollowedHyperlink">
    <w:name w:val="FollowedHyperlink"/>
    <w:basedOn w:val="DefaultParagraphFont"/>
    <w:uiPriority w:val="17"/>
    <w:unhideWhenUsed/>
    <w:rPr>
      <w:color w:val="800080"/>
      <w:u w:val="single"/>
    </w:rPr>
  </w:style>
  <w:style w:type="character" w:styleId="Hyperlink">
    <w:name w:val="Hyperlink"/>
    <w:basedOn w:val="DefaultParagraphFont"/>
    <w:uiPriority w:val="16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17"/>
    <w:semiHidden/>
    <w:pPr>
      <w:ind w:left="210" w:hanging="210"/>
    </w:pPr>
  </w:style>
  <w:style w:type="paragraph" w:styleId="Index2">
    <w:name w:val="index 2"/>
    <w:basedOn w:val="Normal"/>
    <w:next w:val="Normal"/>
    <w:autoRedefine/>
    <w:uiPriority w:val="17"/>
    <w:semiHidden/>
    <w:pPr>
      <w:ind w:left="420" w:hanging="210"/>
    </w:pPr>
  </w:style>
  <w:style w:type="paragraph" w:styleId="Index3">
    <w:name w:val="index 3"/>
    <w:basedOn w:val="Normal"/>
    <w:next w:val="Normal"/>
    <w:autoRedefine/>
    <w:uiPriority w:val="17"/>
    <w:semiHidden/>
    <w:pPr>
      <w:ind w:left="630" w:hanging="210"/>
    </w:pPr>
  </w:style>
  <w:style w:type="paragraph" w:styleId="Index4">
    <w:name w:val="index 4"/>
    <w:basedOn w:val="Normal"/>
    <w:next w:val="Normal"/>
    <w:autoRedefine/>
    <w:uiPriority w:val="17"/>
    <w:semiHidden/>
    <w:pPr>
      <w:ind w:left="840" w:hanging="210"/>
    </w:pPr>
  </w:style>
  <w:style w:type="paragraph" w:styleId="Index5">
    <w:name w:val="index 5"/>
    <w:basedOn w:val="Normal"/>
    <w:next w:val="Normal"/>
    <w:autoRedefine/>
    <w:uiPriority w:val="17"/>
    <w:semiHidden/>
    <w:pPr>
      <w:ind w:left="1050" w:hanging="210"/>
    </w:pPr>
  </w:style>
  <w:style w:type="paragraph" w:styleId="Index6">
    <w:name w:val="index 6"/>
    <w:basedOn w:val="Normal"/>
    <w:next w:val="Normal"/>
    <w:autoRedefine/>
    <w:uiPriority w:val="17"/>
    <w:semiHidden/>
    <w:pPr>
      <w:ind w:left="1260" w:hanging="210"/>
    </w:pPr>
  </w:style>
  <w:style w:type="paragraph" w:styleId="Index7">
    <w:name w:val="index 7"/>
    <w:basedOn w:val="Normal"/>
    <w:next w:val="Normal"/>
    <w:autoRedefine/>
    <w:uiPriority w:val="17"/>
    <w:semiHidden/>
    <w:pPr>
      <w:ind w:left="1470" w:hanging="210"/>
    </w:pPr>
  </w:style>
  <w:style w:type="paragraph" w:styleId="Index8">
    <w:name w:val="index 8"/>
    <w:basedOn w:val="Normal"/>
    <w:next w:val="Normal"/>
    <w:autoRedefine/>
    <w:uiPriority w:val="17"/>
    <w:semiHidden/>
    <w:pPr>
      <w:ind w:left="1680" w:hanging="210"/>
    </w:pPr>
  </w:style>
  <w:style w:type="paragraph" w:styleId="Index9">
    <w:name w:val="index 9"/>
    <w:basedOn w:val="Normal"/>
    <w:next w:val="Normal"/>
    <w:autoRedefine/>
    <w:uiPriority w:val="17"/>
    <w:semiHidden/>
    <w:pPr>
      <w:ind w:left="1890" w:hanging="210"/>
    </w:pPr>
  </w:style>
  <w:style w:type="paragraph" w:styleId="IndexHeading">
    <w:name w:val="index heading"/>
    <w:basedOn w:val="Normal"/>
    <w:next w:val="Index1"/>
    <w:uiPriority w:val="17"/>
    <w:semiHidden/>
    <w:rPr>
      <w:b/>
    </w:rPr>
  </w:style>
  <w:style w:type="character" w:styleId="LineNumber">
    <w:name w:val="line number"/>
    <w:basedOn w:val="DefaultParagraphFont"/>
    <w:uiPriority w:val="17"/>
    <w:semiHidden/>
  </w:style>
  <w:style w:type="paragraph" w:styleId="MacroText">
    <w:name w:val="macro"/>
    <w:uiPriority w:val="17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eastAsia="zh-CN"/>
    </w:rPr>
  </w:style>
  <w:style w:type="paragraph" w:styleId="MessageHeader">
    <w:name w:val="Message Header"/>
    <w:basedOn w:val="Normal"/>
    <w:uiPriority w:val="17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Indent">
    <w:name w:val="Normal Indent"/>
    <w:basedOn w:val="Normal"/>
    <w:uiPriority w:val="29"/>
    <w:pPr>
      <w:ind w:left="720"/>
    </w:pPr>
  </w:style>
  <w:style w:type="paragraph" w:styleId="NoteHeading">
    <w:name w:val="Note Heading"/>
    <w:basedOn w:val="Normal"/>
    <w:next w:val="Normal"/>
    <w:uiPriority w:val="17"/>
    <w:semiHidden/>
  </w:style>
  <w:style w:type="character" w:styleId="PageNumber">
    <w:name w:val="page number"/>
    <w:basedOn w:val="DefaultParagraphFont"/>
    <w:uiPriority w:val="17"/>
    <w:semiHidden/>
  </w:style>
  <w:style w:type="paragraph" w:styleId="PlainText">
    <w:name w:val="Plain Text"/>
    <w:basedOn w:val="Normal"/>
    <w:uiPriority w:val="17"/>
    <w:semiHidden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uiPriority w:val="17"/>
    <w:semiHidden/>
  </w:style>
  <w:style w:type="paragraph" w:styleId="Signature">
    <w:name w:val="Signature"/>
    <w:basedOn w:val="Normal"/>
    <w:uiPriority w:val="17"/>
    <w:semiHidden/>
    <w:pPr>
      <w:ind w:left="4252"/>
    </w:pPr>
  </w:style>
  <w:style w:type="paragraph" w:customStyle="1" w:styleId="CentredSubheading">
    <w:name w:val="Centred Subheading"/>
    <w:basedOn w:val="Centred"/>
    <w:next w:val="Body1"/>
    <w:uiPriority w:val="13"/>
    <w:qFormat/>
    <w:rsid w:val="006E1EA1"/>
    <w:rPr>
      <w:b/>
    </w:rPr>
  </w:style>
  <w:style w:type="paragraph" w:styleId="TableofAuthorities">
    <w:name w:val="table of authorities"/>
    <w:basedOn w:val="Normal"/>
    <w:next w:val="Normal"/>
    <w:uiPriority w:val="17"/>
    <w:semiHidden/>
    <w:pPr>
      <w:ind w:left="210" w:hanging="210"/>
    </w:pPr>
  </w:style>
  <w:style w:type="paragraph" w:styleId="TableofFigures">
    <w:name w:val="table of figures"/>
    <w:basedOn w:val="Normal"/>
    <w:next w:val="Normal"/>
    <w:uiPriority w:val="17"/>
    <w:semiHidden/>
    <w:pPr>
      <w:ind w:left="420" w:hanging="420"/>
    </w:pPr>
  </w:style>
  <w:style w:type="paragraph" w:styleId="TOAHeading">
    <w:name w:val="toa heading"/>
    <w:basedOn w:val="Normal"/>
    <w:next w:val="Normal"/>
    <w:uiPriority w:val="49"/>
    <w:semiHidden/>
    <w:pPr>
      <w:spacing w:before="120"/>
    </w:pPr>
    <w:rPr>
      <w:b/>
      <w:sz w:val="24"/>
    </w:rPr>
  </w:style>
  <w:style w:type="paragraph" w:styleId="TOC5">
    <w:name w:val="toc 5"/>
    <w:basedOn w:val="Body1"/>
    <w:next w:val="Body1"/>
    <w:uiPriority w:val="49"/>
    <w:semiHidden/>
    <w:rsid w:val="00436B0E"/>
    <w:pPr>
      <w:spacing w:after="120"/>
      <w:ind w:left="709"/>
      <w:contextualSpacing/>
      <w:jc w:val="left"/>
    </w:pPr>
    <w:rPr>
      <w:b/>
    </w:rPr>
  </w:style>
  <w:style w:type="paragraph" w:styleId="TOC6">
    <w:name w:val="toc 6"/>
    <w:basedOn w:val="Normal"/>
    <w:next w:val="Normal"/>
    <w:uiPriority w:val="49"/>
    <w:semiHidden/>
    <w:pPr>
      <w:ind w:left="1050"/>
    </w:pPr>
  </w:style>
  <w:style w:type="paragraph" w:styleId="TOC7">
    <w:name w:val="toc 7"/>
    <w:basedOn w:val="Normal"/>
    <w:next w:val="Normal"/>
    <w:uiPriority w:val="49"/>
    <w:semiHidden/>
    <w:pPr>
      <w:ind w:left="1260"/>
    </w:pPr>
  </w:style>
  <w:style w:type="paragraph" w:styleId="TOC8">
    <w:name w:val="toc 8"/>
    <w:basedOn w:val="Normal"/>
    <w:next w:val="Normal"/>
    <w:uiPriority w:val="49"/>
    <w:semiHidden/>
    <w:pPr>
      <w:ind w:left="1470"/>
    </w:pPr>
  </w:style>
  <w:style w:type="paragraph" w:styleId="TOC9">
    <w:name w:val="toc 9"/>
    <w:basedOn w:val="Normal"/>
    <w:next w:val="Normal"/>
    <w:uiPriority w:val="49"/>
    <w:semiHidden/>
    <w:pPr>
      <w:ind w:left="1680"/>
    </w:pPr>
  </w:style>
  <w:style w:type="paragraph" w:customStyle="1" w:styleId="Centred">
    <w:name w:val="Centred"/>
    <w:basedOn w:val="Body"/>
    <w:next w:val="Body1"/>
    <w:uiPriority w:val="13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pPr>
      <w:numPr>
        <w:numId w:val="3"/>
      </w:numPr>
    </w:pPr>
  </w:style>
  <w:style w:type="paragraph" w:customStyle="1" w:styleId="Recitals">
    <w:name w:val="Recitals"/>
    <w:basedOn w:val="Body"/>
    <w:next w:val="Body2"/>
    <w:uiPriority w:val="9"/>
    <w:qFormat/>
    <w:pPr>
      <w:numPr>
        <w:numId w:val="4"/>
      </w:numPr>
    </w:pPr>
  </w:style>
  <w:style w:type="paragraph" w:styleId="TOCHeading">
    <w:name w:val="TOC Heading"/>
    <w:basedOn w:val="Heading1"/>
    <w:next w:val="Normal"/>
    <w:uiPriority w:val="49"/>
    <w:semiHidden/>
    <w:rsid w:val="00AE6229"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character" w:customStyle="1" w:styleId="CommentTextChar">
    <w:name w:val="Comment Text Char"/>
    <w:basedOn w:val="DefaultParagraphFont"/>
    <w:link w:val="CommentText"/>
    <w:uiPriority w:val="17"/>
    <w:semiHidden/>
    <w:rsid w:val="00ED08A9"/>
    <w:rPr>
      <w:sz w:val="20"/>
    </w:rPr>
  </w:style>
  <w:style w:type="paragraph" w:customStyle="1" w:styleId="Address">
    <w:name w:val="Address"/>
    <w:basedOn w:val="Normal"/>
    <w:uiPriority w:val="17"/>
    <w:rsid w:val="00671861"/>
    <w:pPr>
      <w:jc w:val="center"/>
    </w:pPr>
    <w:rPr>
      <w:sz w:val="16"/>
      <w:szCs w:val="16"/>
      <w:lang w:eastAsia="en-US"/>
    </w:rPr>
  </w:style>
  <w:style w:type="paragraph" w:customStyle="1" w:styleId="NormalCentred">
    <w:name w:val="Normal Centred"/>
    <w:basedOn w:val="Normal"/>
    <w:uiPriority w:val="9"/>
    <w:rsid w:val="00671861"/>
    <w:pPr>
      <w:jc w:val="center"/>
    </w:pPr>
    <w:rPr>
      <w:szCs w:val="24"/>
      <w:lang w:eastAsia="en-US"/>
    </w:rPr>
  </w:style>
  <w:style w:type="character" w:customStyle="1" w:styleId="SmallCaps">
    <w:name w:val="SmallCaps"/>
    <w:basedOn w:val="DefaultParagraphFont"/>
    <w:uiPriority w:val="17"/>
    <w:semiHidden/>
    <w:rsid w:val="00671861"/>
    <w:rPr>
      <w:rFonts w:ascii="Arial" w:hAnsi="Arial"/>
      <w:smallCaps/>
      <w:sz w:val="21"/>
    </w:rPr>
  </w:style>
  <w:style w:type="paragraph" w:styleId="BalloonText">
    <w:name w:val="Balloon Text"/>
    <w:basedOn w:val="Normal"/>
    <w:link w:val="BalloonTextChar"/>
    <w:uiPriority w:val="17"/>
    <w:unhideWhenUsed/>
    <w:rsid w:val="00671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7"/>
    <w:rsid w:val="00ED08A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13"/>
    <w:rsid w:val="00ED08A9"/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rsid w:val="00ED08A9"/>
  </w:style>
  <w:style w:type="character" w:styleId="PlaceholderText">
    <w:name w:val="Placeholder Text"/>
    <w:basedOn w:val="DefaultParagraphFont"/>
    <w:uiPriority w:val="99"/>
    <w:semiHidden/>
    <w:rsid w:val="004B05D7"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rsid w:val="000A7590"/>
    <w:pPr>
      <w:keepNext/>
      <w:jc w:val="center"/>
    </w:pPr>
    <w:rPr>
      <w:b/>
      <w:smallCaps/>
    </w:rPr>
  </w:style>
  <w:style w:type="paragraph" w:styleId="NormalWeb">
    <w:name w:val="Normal (Web)"/>
    <w:basedOn w:val="Normal"/>
    <w:uiPriority w:val="29"/>
    <w:rsid w:val="00F95754"/>
    <w:rPr>
      <w:szCs w:val="24"/>
    </w:rPr>
  </w:style>
  <w:style w:type="paragraph" w:styleId="Subtitle">
    <w:name w:val="Subtitle"/>
    <w:basedOn w:val="Body"/>
    <w:next w:val="Body1"/>
    <w:link w:val="SubtitleChar"/>
    <w:uiPriority w:val="18"/>
    <w:rsid w:val="00615756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8"/>
    <w:rsid w:val="00ED08A9"/>
    <w:rPr>
      <w:rFonts w:ascii="Arial Bold" w:eastAsiaTheme="majorEastAsia" w:hAnsi="Arial Bold" w:cstheme="majorBidi"/>
      <w:b/>
      <w:iCs/>
      <w:spacing w:val="15"/>
      <w:szCs w:val="24"/>
    </w:rPr>
  </w:style>
  <w:style w:type="character" w:styleId="BookTitle">
    <w:name w:val="Book Title"/>
    <w:basedOn w:val="DefaultParagraphFont"/>
    <w:uiPriority w:val="43"/>
    <w:semiHidden/>
    <w:rsid w:val="00D25E01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39"/>
    <w:semiHidden/>
    <w:rsid w:val="00D25E01"/>
    <w:rPr>
      <w:i/>
      <w:iCs/>
      <w:color w:val="4D5357" w:themeColor="text1"/>
    </w:rPr>
  </w:style>
  <w:style w:type="character" w:customStyle="1" w:styleId="QuoteChar">
    <w:name w:val="Quote Char"/>
    <w:basedOn w:val="DefaultParagraphFont"/>
    <w:link w:val="Quote"/>
    <w:uiPriority w:val="39"/>
    <w:semiHidden/>
    <w:rsid w:val="00ED08A9"/>
    <w:rPr>
      <w:i/>
      <w:iCs/>
      <w:color w:val="4D5357" w:themeColor="text1"/>
    </w:rPr>
  </w:style>
  <w:style w:type="paragraph" w:styleId="ListParagraph">
    <w:name w:val="List Paragraph"/>
    <w:basedOn w:val="Normal"/>
    <w:uiPriority w:val="44"/>
    <w:rsid w:val="00D25E01"/>
    <w:pPr>
      <w:ind w:left="720"/>
      <w:contextualSpacing/>
    </w:pPr>
  </w:style>
  <w:style w:type="paragraph" w:styleId="Title">
    <w:name w:val="Title"/>
    <w:basedOn w:val="Body"/>
    <w:next w:val="Body1"/>
    <w:link w:val="TitleChar"/>
    <w:uiPriority w:val="18"/>
    <w:rsid w:val="00615756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ED08A9"/>
    <w:rPr>
      <w:rFonts w:eastAsiaTheme="majorEastAsia" w:cstheme="majorBidi"/>
      <w:b/>
      <w:smallCaps/>
      <w:spacing w:val="5"/>
      <w:kern w:val="28"/>
      <w:szCs w:val="52"/>
    </w:rPr>
  </w:style>
  <w:style w:type="paragraph" w:styleId="NoSpacing">
    <w:name w:val="No Spacing"/>
    <w:uiPriority w:val="29"/>
    <w:rsid w:val="007F7F66"/>
    <w:pPr>
      <w:spacing w:line="240" w:lineRule="auto"/>
    </w:pPr>
  </w:style>
  <w:style w:type="paragraph" w:customStyle="1" w:styleId="SchTitle">
    <w:name w:val="Sch  Title"/>
    <w:basedOn w:val="SchSubtitle"/>
    <w:next w:val="SchSubtitle"/>
    <w:uiPriority w:val="10"/>
    <w:qFormat/>
    <w:rsid w:val="00BE7F58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rsid w:val="00BE7F58"/>
    <w:pPr>
      <w:keepNext/>
      <w:numPr>
        <w:ilvl w:val="1"/>
        <w:numId w:val="5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rsid w:val="00FC3332"/>
    <w:pPr>
      <w:numPr>
        <w:ilvl w:val="2"/>
        <w:numId w:val="5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rsid w:val="00FC3332"/>
    <w:pPr>
      <w:numPr>
        <w:ilvl w:val="3"/>
        <w:numId w:val="5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rsid w:val="00FC3332"/>
    <w:pPr>
      <w:numPr>
        <w:ilvl w:val="4"/>
        <w:numId w:val="5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rsid w:val="00FC3332"/>
    <w:pPr>
      <w:numPr>
        <w:ilvl w:val="5"/>
        <w:numId w:val="5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rsid w:val="00FC3332"/>
    <w:pPr>
      <w:numPr>
        <w:ilvl w:val="6"/>
        <w:numId w:val="5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rsid w:val="00665A5B"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rsid w:val="00665A5B"/>
    <w:pPr>
      <w:keepNext/>
    </w:pPr>
    <w:rPr>
      <w:b/>
    </w:rPr>
  </w:style>
  <w:style w:type="paragraph" w:customStyle="1" w:styleId="Heading1Restart">
    <w:name w:val="Heading 1 Restart"/>
    <w:basedOn w:val="Heading1"/>
    <w:next w:val="Body2"/>
    <w:link w:val="Heading1RestartChar"/>
    <w:uiPriority w:val="13"/>
    <w:semiHidden/>
    <w:rsid w:val="000D77B5"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sid w:val="00ED08A9"/>
    <w:rPr>
      <w:rFonts w:eastAsia="Arial Unicode MS"/>
      <w:b/>
      <w:smallCaps/>
    </w:rPr>
  </w:style>
  <w:style w:type="paragraph" w:customStyle="1" w:styleId="Heading2Restart">
    <w:name w:val="Heading 2 Restart"/>
    <w:basedOn w:val="Heading2"/>
    <w:next w:val="Body2"/>
    <w:link w:val="Heading2RestartChar"/>
    <w:uiPriority w:val="13"/>
    <w:semiHidden/>
    <w:rsid w:val="000D77B5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Heading3"/>
    <w:next w:val="Body3"/>
    <w:link w:val="Heading3RestartChar"/>
    <w:uiPriority w:val="13"/>
    <w:semiHidden/>
    <w:qFormat/>
    <w:rsid w:val="000D77B5"/>
    <w:pPr>
      <w:numPr>
        <w:ilvl w:val="0"/>
        <w:numId w:val="0"/>
      </w:numPr>
      <w:ind w:left="1418" w:hanging="709"/>
    </w:pPr>
  </w:style>
  <w:style w:type="character" w:customStyle="1" w:styleId="Heading3RestartChar">
    <w:name w:val="Heading 3 Restart Char"/>
    <w:link w:val="Heading3Restart"/>
    <w:uiPriority w:val="13"/>
    <w:semiHidden/>
    <w:rsid w:val="00ED08A9"/>
    <w:rPr>
      <w:rFonts w:eastAsia="Arial Unicode MS"/>
      <w:b/>
    </w:rPr>
  </w:style>
  <w:style w:type="character" w:customStyle="1" w:styleId="BodyChar">
    <w:name w:val="Body Char"/>
    <w:basedOn w:val="DefaultParagraphFont"/>
    <w:link w:val="Body"/>
    <w:uiPriority w:val="17"/>
    <w:semiHidden/>
    <w:rsid w:val="00ED08A9"/>
  </w:style>
  <w:style w:type="character" w:customStyle="1" w:styleId="Body1Char">
    <w:name w:val="Body 1 Char"/>
    <w:basedOn w:val="BodyChar"/>
    <w:link w:val="Body1"/>
    <w:rsid w:val="000D77B5"/>
  </w:style>
  <w:style w:type="character" w:customStyle="1" w:styleId="Body2Char">
    <w:name w:val="Body 2 Char"/>
    <w:basedOn w:val="Body1Char"/>
    <w:link w:val="Body2"/>
    <w:rsid w:val="000D77B5"/>
  </w:style>
  <w:style w:type="character" w:customStyle="1" w:styleId="Level2Char">
    <w:name w:val="Level 2 Char"/>
    <w:basedOn w:val="Body2Char"/>
    <w:link w:val="Level2"/>
    <w:uiPriority w:val="6"/>
    <w:rsid w:val="00ED08A9"/>
  </w:style>
  <w:style w:type="character" w:customStyle="1" w:styleId="Heading2Char">
    <w:name w:val="Heading 2 Char"/>
    <w:basedOn w:val="Level2Char"/>
    <w:link w:val="Heading2"/>
    <w:uiPriority w:val="4"/>
    <w:rsid w:val="00ED08A9"/>
    <w:rPr>
      <w:b/>
    </w:rPr>
  </w:style>
  <w:style w:type="character" w:customStyle="1" w:styleId="Heading2RestartChar">
    <w:name w:val="Heading 2 Restart Char"/>
    <w:basedOn w:val="Heading2Char"/>
    <w:link w:val="Heading2Restart"/>
    <w:uiPriority w:val="13"/>
    <w:semiHidden/>
    <w:rsid w:val="00ED08A9"/>
    <w:rPr>
      <w:rFonts w:eastAsia="Arial Unicode MS"/>
      <w:b/>
    </w:rPr>
  </w:style>
  <w:style w:type="numbering" w:customStyle="1" w:styleId="SchCustomList">
    <w:name w:val="Sch Custom List"/>
    <w:basedOn w:val="NoList"/>
    <w:uiPriority w:val="99"/>
    <w:rsid w:val="00FC3332"/>
    <w:pPr>
      <w:numPr>
        <w:numId w:val="5"/>
      </w:numPr>
    </w:pPr>
  </w:style>
  <w:style w:type="character" w:customStyle="1" w:styleId="Body3Char">
    <w:name w:val="Body 3 Char"/>
    <w:basedOn w:val="Body2Char"/>
    <w:link w:val="Body3"/>
    <w:rsid w:val="00C10D16"/>
  </w:style>
  <w:style w:type="character" w:customStyle="1" w:styleId="Body4Char">
    <w:name w:val="Body 4 Char"/>
    <w:basedOn w:val="Body3Char"/>
    <w:link w:val="Body4"/>
    <w:rsid w:val="00C10D16"/>
  </w:style>
  <w:style w:type="character" w:customStyle="1" w:styleId="Body5Char">
    <w:name w:val="Body 5 Char"/>
    <w:basedOn w:val="Body4Char"/>
    <w:link w:val="Body5"/>
    <w:rsid w:val="00C10D16"/>
  </w:style>
  <w:style w:type="character" w:customStyle="1" w:styleId="Level1Char">
    <w:name w:val="Level 1 Char"/>
    <w:basedOn w:val="Body1Char"/>
    <w:link w:val="Level1"/>
    <w:uiPriority w:val="6"/>
    <w:rsid w:val="00ED08A9"/>
  </w:style>
  <w:style w:type="character" w:customStyle="1" w:styleId="Heading1Char">
    <w:name w:val="Heading 1 Char"/>
    <w:basedOn w:val="Level1Char"/>
    <w:link w:val="Heading1"/>
    <w:uiPriority w:val="4"/>
    <w:rsid w:val="00ED08A9"/>
    <w:rPr>
      <w:b/>
      <w:smallCaps/>
    </w:rPr>
  </w:style>
  <w:style w:type="character" w:customStyle="1" w:styleId="Level3Char">
    <w:name w:val="Level 3 Char"/>
    <w:basedOn w:val="Body3Char"/>
    <w:link w:val="Level3"/>
    <w:uiPriority w:val="6"/>
    <w:rsid w:val="00ED08A9"/>
  </w:style>
  <w:style w:type="character" w:customStyle="1" w:styleId="Heading3Char">
    <w:name w:val="Heading 3 Char"/>
    <w:basedOn w:val="Level3Char"/>
    <w:link w:val="Heading3"/>
    <w:uiPriority w:val="4"/>
    <w:rsid w:val="00ED08A9"/>
    <w:rPr>
      <w:b/>
    </w:rPr>
  </w:style>
  <w:style w:type="character" w:customStyle="1" w:styleId="Level4Char">
    <w:name w:val="Level 4 Char"/>
    <w:basedOn w:val="Body4Char"/>
    <w:link w:val="Level4"/>
    <w:uiPriority w:val="6"/>
    <w:rsid w:val="00ED08A9"/>
  </w:style>
  <w:style w:type="character" w:customStyle="1" w:styleId="Heading4Char">
    <w:name w:val="Heading 4 Char"/>
    <w:basedOn w:val="Level4Char"/>
    <w:link w:val="Heading4"/>
    <w:uiPriority w:val="5"/>
    <w:semiHidden/>
    <w:rsid w:val="00ED08A9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5"/>
    <w:semiHidden/>
    <w:rsid w:val="00ED08A9"/>
    <w:rPr>
      <w:sz w:val="22"/>
    </w:rPr>
  </w:style>
  <w:style w:type="character" w:customStyle="1" w:styleId="Level5Char">
    <w:name w:val="Level 5 Char"/>
    <w:basedOn w:val="Body5Char"/>
    <w:link w:val="Level5"/>
    <w:uiPriority w:val="6"/>
    <w:rsid w:val="00ED08A9"/>
  </w:style>
  <w:style w:type="character" w:customStyle="1" w:styleId="SchNumber1Char">
    <w:name w:val="Sch Number 1 Char"/>
    <w:basedOn w:val="Level1Char"/>
    <w:link w:val="SchNumber1"/>
    <w:uiPriority w:val="12"/>
    <w:rsid w:val="00ED08A9"/>
    <w:rPr>
      <w:rFonts w:eastAsia="Arial Unicode MS"/>
    </w:rPr>
  </w:style>
  <w:style w:type="character" w:customStyle="1" w:styleId="SchHeading1Char">
    <w:name w:val="Sch Heading 1 Char"/>
    <w:basedOn w:val="SchNumber1Char"/>
    <w:link w:val="SchHeading1"/>
    <w:uiPriority w:val="12"/>
    <w:rsid w:val="00665A5B"/>
    <w:rPr>
      <w:rFonts w:eastAsia="Arial Unicode MS"/>
      <w:b/>
      <w:smallCaps/>
    </w:rPr>
  </w:style>
  <w:style w:type="character" w:customStyle="1" w:styleId="SchNumber2Char">
    <w:name w:val="Sch Number 2 Char"/>
    <w:basedOn w:val="Level2Char"/>
    <w:link w:val="SchNumber2"/>
    <w:uiPriority w:val="12"/>
    <w:rsid w:val="00ED08A9"/>
    <w:rPr>
      <w:rFonts w:eastAsia="Arial Unicode MS"/>
    </w:rPr>
  </w:style>
  <w:style w:type="character" w:customStyle="1" w:styleId="SchHeading2Char">
    <w:name w:val="Sch Heading 2 Char"/>
    <w:basedOn w:val="SchNumber2Char"/>
    <w:link w:val="SchHeading2"/>
    <w:uiPriority w:val="12"/>
    <w:rsid w:val="00665A5B"/>
    <w:rPr>
      <w:rFonts w:eastAsia="Arial Unicode MS"/>
      <w:b/>
    </w:rPr>
  </w:style>
  <w:style w:type="character" w:customStyle="1" w:styleId="SchNumber3Char">
    <w:name w:val="Sch Number 3 Char"/>
    <w:basedOn w:val="Level3Char"/>
    <w:link w:val="SchNumber3"/>
    <w:uiPriority w:val="12"/>
    <w:rsid w:val="00ED08A9"/>
    <w:rPr>
      <w:rFonts w:eastAsia="Arial Unicode MS"/>
    </w:rPr>
  </w:style>
  <w:style w:type="character" w:customStyle="1" w:styleId="SchNumber4Char">
    <w:name w:val="Sch Number 4 Char"/>
    <w:basedOn w:val="Level4Char"/>
    <w:link w:val="SchNumber4"/>
    <w:uiPriority w:val="12"/>
    <w:rsid w:val="00ED08A9"/>
    <w:rPr>
      <w:rFonts w:eastAsia="Arial Unicode MS"/>
    </w:rPr>
  </w:style>
  <w:style w:type="character" w:customStyle="1" w:styleId="SchNumber5Char">
    <w:name w:val="Sch Number 5 Char"/>
    <w:basedOn w:val="Level5Char"/>
    <w:link w:val="SchNumber5"/>
    <w:uiPriority w:val="12"/>
    <w:rsid w:val="00ED08A9"/>
    <w:rPr>
      <w:rFonts w:eastAsia="Arial Unicode MS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rsid w:val="00665A5B"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rsid w:val="00665A5B"/>
    <w:rPr>
      <w:rFonts w:eastAsia="Arial Unicode MS"/>
      <w:b/>
    </w:rPr>
  </w:style>
  <w:style w:type="paragraph" w:customStyle="1" w:styleId="Parts">
    <w:name w:val="Parts"/>
    <w:basedOn w:val="Body1"/>
    <w:next w:val="Body1"/>
    <w:uiPriority w:val="12"/>
    <w:qFormat/>
    <w:rsid w:val="00665A5B"/>
    <w:pPr>
      <w:keepNext/>
      <w:jc w:val="center"/>
    </w:pPr>
    <w:rPr>
      <w:b/>
    </w:rPr>
  </w:style>
  <w:style w:type="paragraph" w:styleId="List4">
    <w:name w:val="List 4"/>
    <w:basedOn w:val="Normal"/>
    <w:uiPriority w:val="29"/>
    <w:rsid w:val="00F95754"/>
    <w:pPr>
      <w:ind w:left="1132" w:hanging="283"/>
      <w:contextualSpacing/>
    </w:pPr>
  </w:style>
  <w:style w:type="paragraph" w:customStyle="1" w:styleId="Address2">
    <w:name w:val="Address 2"/>
    <w:basedOn w:val="Normal"/>
    <w:uiPriority w:val="17"/>
    <w:rsid w:val="00D67411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rsid w:val="00D67411"/>
    <w:pPr>
      <w:spacing w:after="120" w:line="240" w:lineRule="auto"/>
    </w:pPr>
    <w:rPr>
      <w:sz w:val="12"/>
    </w:rPr>
  </w:style>
  <w:style w:type="paragraph" w:customStyle="1" w:styleId="SchHeading1Restart">
    <w:name w:val="Sch Heading 1 Restart"/>
    <w:basedOn w:val="SchHeading1"/>
    <w:next w:val="Body2"/>
    <w:link w:val="SchHeading1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1RestartChar">
    <w:name w:val="Sch Heading 1 Restart Char"/>
    <w:basedOn w:val="SchHeading1Char"/>
    <w:link w:val="SchHeading1Restart"/>
    <w:uiPriority w:val="13"/>
    <w:semiHidden/>
    <w:rsid w:val="00AD2466"/>
    <w:rPr>
      <w:rFonts w:eastAsia="Arial Unicode MS"/>
      <w:b/>
      <w:smallCaps/>
    </w:rPr>
  </w:style>
  <w:style w:type="paragraph" w:customStyle="1" w:styleId="SchHeading2Restart">
    <w:name w:val="Sch Heading 2 Restart"/>
    <w:basedOn w:val="SchHeading2"/>
    <w:next w:val="Body2"/>
    <w:link w:val="SchHeading2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2RestartChar">
    <w:name w:val="Sch Heading 2 Restart Char"/>
    <w:basedOn w:val="SchHeading2Char"/>
    <w:link w:val="SchHeading2Restart"/>
    <w:uiPriority w:val="13"/>
    <w:semiHidden/>
    <w:rsid w:val="00AD2466"/>
    <w:rPr>
      <w:rFonts w:eastAsia="Arial Unicode MS"/>
      <w:b/>
    </w:rPr>
  </w:style>
  <w:style w:type="paragraph" w:customStyle="1" w:styleId="SchHeading3Restart">
    <w:name w:val="Sch Heading 3 Restart"/>
    <w:basedOn w:val="SchHeading3"/>
    <w:next w:val="Body3"/>
    <w:link w:val="SchHeading3RestartChar"/>
    <w:uiPriority w:val="13"/>
    <w:semiHidden/>
    <w:rsid w:val="00AD2466"/>
    <w:pPr>
      <w:numPr>
        <w:ilvl w:val="0"/>
        <w:numId w:val="0"/>
      </w:numPr>
      <w:tabs>
        <w:tab w:val="left" w:pos="1418"/>
      </w:tabs>
    </w:pPr>
  </w:style>
  <w:style w:type="character" w:customStyle="1" w:styleId="SchHeading3RestartChar">
    <w:name w:val="Sch Heading 3 Restart Char"/>
    <w:basedOn w:val="SchHeading3Char"/>
    <w:link w:val="SchHeading3Restart"/>
    <w:uiPriority w:val="13"/>
    <w:semiHidden/>
    <w:rsid w:val="00AD2466"/>
    <w:rPr>
      <w:rFonts w:eastAsia="Arial Unicode MS"/>
      <w:b/>
    </w:rPr>
  </w:style>
  <w:style w:type="paragraph" w:customStyle="1" w:styleId="CentredHeadingCover">
    <w:name w:val="Centred Heading Cover"/>
    <w:basedOn w:val="CentredHeading"/>
    <w:uiPriority w:val="13"/>
    <w:semiHidden/>
    <w:unhideWhenUsed/>
    <w:rsid w:val="005045A9"/>
  </w:style>
  <w:style w:type="table" w:styleId="TableGrid">
    <w:name w:val="Table Grid"/>
    <w:basedOn w:val="TableNormal"/>
    <w:rsid w:val="006B61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079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17"/>
    <w:semiHidden/>
    <w:unhideWhenUsed/>
    <w:rsid w:val="001872F8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17"/>
    <w:semiHidden/>
    <w:rsid w:val="001872F8"/>
    <w:rPr>
      <w:rFonts w:eastAsia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mittees.parliament.uk/publications/9597/documents/162420/default/" TargetMode="External"/><Relationship Id="rId18" Type="http://schemas.openxmlformats.org/officeDocument/2006/relationships/hyperlink" Target="http://data.parliament.uk/writtenevidence/committeeevidence.svc/evidencedocument/human-rights-committee/20-years-of-the-human-rights-act/written/90593.html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publications.parliament.uk/pa/bills/cbill/58-03/0117/220117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searchbriefings.files.parliament.uk/documents/CBP-9406/CBP-9406.pdf" TargetMode="External"/><Relationship Id="rId17" Type="http://schemas.openxmlformats.org/officeDocument/2006/relationships/hyperlink" Target="https://www.gov.uk/government/speeches/queens-speech-2015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mnesty.org.uk/files/protectinghumanrightsinuk_conservativeparty.pdf?vhzrAQkxzwCH8hbjeYhhcu5B5lyPp_9K=" TargetMode="External"/><Relationship Id="rId20" Type="http://schemas.openxmlformats.org/officeDocument/2006/relationships/hyperlink" Target="https://committees.parliament.uk/publications/6592/documents/71259/defaul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slation.gov.uk/ukpga/1998/42/contents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assets.publishing.service.gov.uk/government/uploads/system/uploads/attachment_data/file/228834/7170.pdf" TargetMode="External"/><Relationship Id="rId23" Type="http://schemas.openxmlformats.org/officeDocument/2006/relationships/hyperlink" Target="https://www.gov.uk/government/publications/response-to-the-jchrs-bill-of-rights-bill-report/government-response-to-the-joint-committee-on-human-rights-legislative-scrutiny-bill-of-rights-bil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ssets.publishing.service.gov.uk/government/uploads/system/uploads/attachment_data/file/263526/rights.pdf" TargetMode="External"/><Relationship Id="rId19" Type="http://schemas.openxmlformats.org/officeDocument/2006/relationships/hyperlink" Target="https://assets.publishing.service.gov.uk/government/uploads/system/uploads/attachment_data/file/1040526/ihrar-executive-summary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echr.coe.int/statistical-reports" TargetMode="External"/><Relationship Id="rId22" Type="http://schemas.openxmlformats.org/officeDocument/2006/relationships/hyperlink" Target="https://publiclawforeveryone.com/2022/06/22/the-uks-new-bill-of-rights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ustom\templates\blank%20document.dotm" TargetMode="External"/></Relationships>
</file>

<file path=word/theme/theme1.xml><?xml version="1.0" encoding="utf-8"?>
<a:theme xmlns:a="http://schemas.openxmlformats.org/drawingml/2006/main" name="HoganLovells">
  <a:themeElements>
    <a:clrScheme name="HL_Colours">
      <a:dk1>
        <a:srgbClr val="4D5357"/>
      </a:dk1>
      <a:lt1>
        <a:srgbClr val="FFFFFF"/>
      </a:lt1>
      <a:dk2>
        <a:srgbClr val="2C5E4F"/>
      </a:dk2>
      <a:lt2>
        <a:srgbClr val="BED600"/>
      </a:lt2>
      <a:accent1>
        <a:srgbClr val="557630"/>
      </a:accent1>
      <a:accent2>
        <a:srgbClr val="AAA38E"/>
      </a:accent2>
      <a:accent3>
        <a:srgbClr val="4B2942"/>
      </a:accent3>
      <a:accent4>
        <a:srgbClr val="5482AB"/>
      </a:accent4>
      <a:accent5>
        <a:srgbClr val="BEC5C2"/>
      </a:accent5>
      <a:accent6>
        <a:srgbClr val="58A618"/>
      </a:accent6>
      <a:hlink>
        <a:srgbClr val="C50084"/>
      </a:hlink>
      <a:folHlink>
        <a:srgbClr val="FFA100"/>
      </a:folHlink>
    </a:clrScheme>
    <a:fontScheme name="HL_Theme">
      <a:majorFont>
        <a:latin typeface="Calibri"/>
        <a:ea typeface="Arial"/>
        <a:cs typeface="Arial"/>
      </a:majorFont>
      <a:minorFont>
        <a:latin typeface="Georgia"/>
        <a:ea typeface="Georgia"/>
        <a:cs typeface="Georgia"/>
      </a:minorFont>
    </a:fontScheme>
    <a:fmtScheme name="New Theme">
      <a:fillStyleLst>
        <a:solidFill>
          <a:schemeClr val="phClr"/>
        </a:solidFill>
        <a:gradFill rotWithShape="1"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2700" cap="rnd" cmpd="sng" algn="ctr">
          <a:solidFill>
            <a:schemeClr val="phClr"/>
          </a:solidFill>
          <a:prstDash val="solid"/>
        </a:ln>
        <a:ln w="127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  <a:scene3d>
            <a:camera prst="orthographicFront" fov="0">
              <a:rot lat="0" lon="0" rev="0"/>
            </a:camera>
            <a:lightRig rig="threePt" dir="tl"/>
          </a:scene3d>
          <a:sp3d>
            <a:bevelT w="0" h="0"/>
          </a:sp3d>
        </a:effectStyle>
        <a:effectStyle>
          <a:effectLst/>
          <a:scene3d>
            <a:camera prst="orthographicFront" fov="0">
              <a:rot lat="0" lon="0" rev="0"/>
            </a:camera>
            <a:lightRig rig="threePt" dir="tl"/>
          </a:scene3d>
          <a:sp3d>
            <a:bevelT w="0" h="0"/>
          </a:sp3d>
        </a:effectStyle>
        <a:effectStyle>
          <a:effectLst/>
          <a:scene3d>
            <a:camera prst="orthographicFront" fov="0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 rtlCol="0" anchor="ctr"/>
      <a:lstStyle>
        <a:defPPr algn="ctr">
          <a:defRPr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ustomdocument xmlns="http://hoganlovells.com/word2010/custom">
  <fields>
    <field id="Author" dmfield="AUTHOR_ID" type="string"/>
    <field id="AuthorName" dmfield="" type="string"/>
    <field id="ClientNumber" dmfield="CLIENT_ID" type="string"/>
    <field id="MatterNumber" dmfield="MATTER_ID" type="string"/>
    <field id="DocumentType" dmfield="TYPE_ID" type="string"/>
    <field id="DocumentTitle" dmfield="DOCNAME" type="string"/>
    <field id="DocumentNumber" dmfield="DOCNUM" type="string"/>
    <field id="Library" dmfield="" type="string">Blank Document.dotx</field>
    <field id="Version" dmfield="" type="string"/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</fields>
</customdocument>
</file>

<file path=customXml/itemProps1.xml><?xml version="1.0" encoding="utf-8"?>
<ds:datastoreItem xmlns:ds="http://schemas.openxmlformats.org/officeDocument/2006/customXml" ds:itemID="{845637F1-FA99-44CB-BA25-9070F153C0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4155B8-47EB-43EE-A958-0E2701544FBB}">
  <ds:schemaRefs>
    <ds:schemaRef ds:uri="http://hoganlovells.com/word2010/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0</TotalTime>
  <Pages>3</Pages>
  <Words>536</Words>
  <Characters>4895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Hogan Lovells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1095170</dc:creator>
  <cp:lastModifiedBy>Dervla Simm</cp:lastModifiedBy>
  <cp:revision>9</cp:revision>
  <cp:lastPrinted>2011-07-22T14:18:00Z</cp:lastPrinted>
  <dcterms:created xsi:type="dcterms:W3CDTF">2023-07-02T20:41:00Z</dcterms:created>
  <dcterms:modified xsi:type="dcterms:W3CDTF">2023-07-04T20:18:00Z</dcterms:modified>
</cp:coreProperties>
</file>